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"5 Strategi Supply Chain Management yang Optimal (Update 2026)"</w:t>
      </w:r>
      <w:r>
        <w:br/>
      </w:r>
      <w:r>
        <w:rPr>
          <w:rStyle w:val="FunctionTok"/>
        </w:rPr>
        <w:t xml:space="preserve">meta_title</w:t>
      </w:r>
      <w:r>
        <w:rPr>
          <w:rStyle w:val="KeywordTok"/>
        </w:rPr>
        <w:t xml:space="preserve">:</w:t>
      </w:r>
      <w:r>
        <w:rPr>
          <w:rStyle w:val="AttributeTok"/>
        </w:rPr>
        <w:t xml:space="preserve"> </w:t>
      </w:r>
      <w:r>
        <w:rPr>
          <w:rStyle w:val="StringTok"/>
        </w:rPr>
        <w:t xml:space="preserve">"5 Strategi Supply Chain Management yang Optimal 2026"</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supply chain management untuk 2026: visibilitas end-to-end, perencanaan berbasis permintaan, diversifikasi pemasok, hingga KPI evaluasinya."</w:t>
      </w:r>
      <w:r>
        <w:br/>
      </w:r>
      <w:r>
        <w:rPr>
          <w:rStyle w:val="FunctionTok"/>
        </w:rPr>
        <w:t xml:space="preserve">slug</w:t>
      </w:r>
      <w:r>
        <w:rPr>
          <w:rStyle w:val="KeywordTok"/>
        </w:rPr>
        <w:t xml:space="preserve">:</w:t>
      </w:r>
      <w:r>
        <w:rPr>
          <w:rStyle w:val="AttributeTok"/>
        </w:rPr>
        <w:t xml:space="preserve"> </w:t>
      </w:r>
      <w:r>
        <w:rPr>
          <w:rStyle w:val="StringTok"/>
        </w:rPr>
        <w:t xml:space="preserve">"5-strategi-supply-chain-management-yang-optimal"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"strategi supply chain management"</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"strategi rantai pasok"</w:t>
      </w:r>
      <w:r>
        <w:rPr>
          <w:rStyle w:val="KeywordTok"/>
        </w:rPr>
        <w:t xml:space="preserve">,</w:t>
      </w:r>
      <w:r>
        <w:rPr>
          <w:rStyle w:val="AttributeTok"/>
        </w:rPr>
        <w:t xml:space="preserve"> </w:t>
      </w:r>
      <w:r>
        <w:rPr>
          <w:rStyle w:val="StringTok"/>
        </w:rPr>
        <w:t xml:space="preserve">"visibilitas rantai pasok end-to-end"</w:t>
      </w:r>
      <w:r>
        <w:rPr>
          <w:rStyle w:val="KeywordTok"/>
        </w:rPr>
        <w:t xml:space="preserve">,</w:t>
      </w:r>
      <w:r>
        <w:rPr>
          <w:rStyle w:val="AttributeTok"/>
        </w:rPr>
        <w:t xml:space="preserve"> </w:t>
      </w:r>
      <w:r>
        <w:rPr>
          <w:rStyle w:val="StringTok"/>
        </w:rPr>
        <w:t xml:space="preserve">"diversifikasi pemasok"</w:t>
      </w:r>
      <w:r>
        <w:rPr>
          <w:rStyle w:val="KeywordTok"/>
        </w:rPr>
        <w:t xml:space="preserve">,</w:t>
      </w:r>
      <w:r>
        <w:rPr>
          <w:rStyle w:val="AttributeTok"/>
        </w:rPr>
        <w:t xml:space="preserve"> </w:t>
      </w:r>
      <w:r>
        <w:rPr>
          <w:rStyle w:val="StringTok"/>
        </w:rPr>
        <w:t xml:space="preserve">"lean supply chain"</w:t>
      </w:r>
      <w:r>
        <w:rPr>
          <w:rStyle w:val="KeywordTok"/>
        </w:rPr>
        <w:t xml:space="preserve">,</w:t>
      </w:r>
      <w:r>
        <w:rPr>
          <w:rStyle w:val="AttributeTok"/>
        </w:rPr>
        <w:t xml:space="preserve"> </w:t>
      </w:r>
      <w:r>
        <w:rPr>
          <w:rStyle w:val="StringTok"/>
        </w:rPr>
        <w:t xml:space="preserve">"agile supply chain"</w:t>
      </w:r>
      <w:r>
        <w:rPr>
          <w:rStyle w:val="KeywordTok"/>
        </w:rPr>
        <w:t xml:space="preserve">,</w:t>
      </w:r>
      <w:r>
        <w:rPr>
          <w:rStyle w:val="AttributeTok"/>
        </w:rPr>
        <w:t xml:space="preserve"> </w:t>
      </w:r>
      <w:r>
        <w:rPr>
          <w:rStyle w:val="StringTok"/>
        </w:rPr>
        <w:t xml:space="preserve">"demand planning"</w:t>
      </w:r>
      <w:r>
        <w:rPr>
          <w:rStyle w:val="KeywordTok"/>
        </w:rPr>
        <w:t xml:space="preserve">,</w:t>
      </w:r>
      <w:r>
        <w:rPr>
          <w:rStyle w:val="AttributeTok"/>
        </w:rPr>
        <w:t xml:space="preserve"> </w:t>
      </w:r>
      <w:r>
        <w:rPr>
          <w:rStyle w:val="StringTok"/>
        </w:rPr>
        <w:t xml:space="preserve">"S&amp;OP (Sales and Operations Planning)"</w:t>
      </w:r>
      <w:r>
        <w:rPr>
          <w:rStyle w:val="KeywordTok"/>
        </w:rPr>
        <w:t xml:space="preserve">,</w:t>
      </w:r>
      <w:r>
        <w:rPr>
          <w:rStyle w:val="AttributeTok"/>
        </w:rPr>
        <w:t xml:space="preserve"> </w:t>
      </w:r>
      <w:r>
        <w:rPr>
          <w:rStyle w:val="StringTok"/>
        </w:rPr>
        <w:t xml:space="preserve">"KPI supply chain"</w:t>
      </w:r>
      <w:r>
        <w:rPr>
          <w:rStyle w:val="KeywordTok"/>
        </w:rPr>
        <w:t xml:space="preserve">,</w:t>
      </w:r>
      <w:r>
        <w:rPr>
          <w:rStyle w:val="AttributeTok"/>
        </w:rPr>
        <w:t xml:space="preserve"> </w:t>
      </w:r>
      <w:r>
        <w:rPr>
          <w:rStyle w:val="StringTok"/>
        </w:rPr>
        <w:t xml:space="preserve">"SAP Integrated Business Planning (SAP IBP)"</w:t>
      </w:r>
      <w:r>
        <w:rPr>
          <w:rStyle w:val="KeywordTok"/>
        </w:rPr>
        <w:t xml:space="preserve">,</w:t>
      </w:r>
      <w:r>
        <w:rPr>
          <w:rStyle w:val="AttributeTok"/>
        </w:rPr>
        <w:t xml:space="preserve"> </w:t>
      </w:r>
      <w:r>
        <w:rPr>
          <w:rStyle w:val="StringTok"/>
        </w:rPr>
        <w:t xml:space="preserve">"resiliensi rantai pasok"</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"https://www.soltius.co.id/blog/how-sap-ibp-supports-the-sales-operations-planning-s-op-process"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IBP untuk proses S&amp;OP"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"https://www.mckinsey.com/capabilities/operations/our-insights/supply-chain-risk-survey"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"95% punya visibilitas risiko sampai tier-1 tetapi hanya 42% menjangkau tier-2; 82% rantai pasok terdampak tarif baru (McKinsey Supply Chain Risk Pulse, Desember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"https://www.gartner.com/en/newsroom/press-releases/2025-02-18-gartner-survey-shows-only-29-percent-of-supply-chain-organizations-have-built-necessary-capabilities-to-deliver-on-future-performance"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"Baru 29% organisasi supply chain telah membangun kapabilitas untuk performa masa depan (Gartner, Februari 2025)"</w:t>
      </w:r>
      <w:r>
        <w:br/>
      </w:r>
      <w:r>
        <w:rPr>
          <w:rStyle w:val="FunctionTok"/>
        </w:rPr>
        <w:t xml:space="preserve">brief_id</w:t>
      </w:r>
      <w:r>
        <w:rPr>
          <w:rStyle w:val="KeywordTok"/>
        </w:rPr>
        <w:t xml:space="preserve">:</w:t>
      </w:r>
      <w:r>
        <w:rPr>
          <w:rStyle w:val="AttributeTok"/>
        </w:rPr>
        <w:t xml:space="preserve"> </w:t>
      </w:r>
      <w:r>
        <w:rPr>
          <w:rStyle w:val="StringTok"/>
        </w:rPr>
        <w:t xml:space="preserve">"strategi-scm-c01"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"2026-07-06"</w:t>
      </w:r>
      <w:r>
        <w:br/>
      </w:r>
      <w:r>
        <w:rPr>
          <w:rStyle w:val="FunctionTok"/>
        </w:rPr>
        <w:t xml:space="preserve">word_count</w:t>
      </w:r>
      <w:r>
        <w:rPr>
          <w:rStyle w:val="KeywordTok"/>
        </w:rPr>
        <w:t xml:space="preserve">:</w:t>
      </w:r>
      <w:r>
        <w:rPr>
          <w:rStyle w:val="AttributeTok"/>
        </w:rPr>
        <w:t xml:space="preserve"> </w:t>
      </w:r>
      <w:r>
        <w:rPr>
          <w:rStyle w:val="DecValTok"/>
        </w:rPr>
        <w:t xml:space="preserve">948</w:t>
      </w:r>
    </w:p>
    <w:p>
      <w:r>
        <w:pict>
          <v:rect style="width:0;height:1.5pt" o:hralign="center" o:hrstd="t" o:hr="t"/>
        </w:pict>
      </w:r>
    </w:p>
    <w:bookmarkEnd w:id="16"/>
    <w:bookmarkStart w:id="29" w:name="Xa544e2f609366fcfea20fd2fee7ab8a2fb1d5ba"/>
    <w:p>
      <w:pPr>
        <w:pStyle w:val="Heading1"/>
      </w:pPr>
      <w:r>
        <w:t xml:space="preserve">5 Strategi Supply Chain Management yang Optimal (Update 2026)</w:t>
      </w:r>
    </w:p>
    <w:p>
      <w:pPr>
        <w:pStyle w:val="FirstParagraph"/>
      </w:pPr>
      <w:r>
        <w:t xml:space="preserve">Disrupsi pasokan datang lebih sering, tarif dagang baru mengubah peta pemasok, dan biaya logistik terus naik, sementara banyak perusahaan masih menjalankan strategi</w:t>
      </w:r>
      <w:r>
        <w:t xml:space="preserve"> </w:t>
      </w:r>
      <w:hyperlink r:id="rId17">
        <w:r>
          <w:rPr>
            <w:rStyle w:val="Hyperlink"/>
          </w:rPr>
          <w:t xml:space="preserve">supply chain management</w:t>
        </w:r>
      </w:hyperlink>
      <w:r>
        <w:t xml:space="preserve"> </w:t>
      </w:r>
      <w:r>
        <w:t xml:space="preserve">yang disusun sebelum pandemi. Artikel ini memperbarui lima strategi rantai pasok untuk 2026: fokus dan indikator tiap strategi, urutan penerapannya, serta pemicu kapan strategi lama perlu dirombak.</w:t>
      </w:r>
    </w:p>
    <w:p>
      <w:pPr>
        <w:pStyle w:val="BlockText"/>
      </w:pPr>
      <w:r>
        <w:rPr>
          <w:b/>
          <w:bCs/>
        </w:rPr>
        <w:t xml:space="preserve">Ringkasnya:</w:t>
      </w:r>
      <w:r>
        <w:t xml:space="preserve"> </w:t>
      </w:r>
      <w:r>
        <w:t xml:space="preserve">strategi supply chain management adalah kerangka keputusan jangka menengah hingga panjang yang menentukan cara rantai pasok dirancang dan dijalankan, mencakup visibilitas, perencanaan permintaan, pemilihan pemasok, segmentasi layanan, dan evaluasi kinerja, agar biaya efisien, pasokan andal, dan pelanggan terlayani tepat waktu. Survei Gartner 2025 menegaskan urgensinya: baru 29% organisasi supply chain yang telah membangun kapabilitas untuk performa masa depan.</w:t>
      </w:r>
    </w:p>
    <w:bookmarkStart w:id="19" w:name="Xe16132ced87e28934a8846c7489e8f3bc73d7a3"/>
    <w:p>
      <w:pPr>
        <w:pStyle w:val="Heading2"/>
      </w:pPr>
      <w:r>
        <w:t xml:space="preserve">5 Strategi Supply Chain Management yang Optimal di 2026</w:t>
      </w:r>
    </w:p>
    <w:p>
      <w:pPr>
        <w:pStyle w:val="FirstParagraph"/>
      </w:pPr>
      <w:r>
        <w:t xml:space="preserve">Lima strategi yang relevan untuk 2026: bangun visibilitas end-to-end melampaui pemasok tier-1, rencanakan berdasarkan permintaan lewat S&amp;OP (</w:t>
      </w:r>
      <w:r>
        <w:rPr>
          <w:i/>
          <w:iCs/>
        </w:rPr>
        <w:t xml:space="preserve">Sales and Operations Planning</w:t>
      </w:r>
      <w:r>
        <w:t xml:space="preserve">), diversifikasi dan perkuat kemitraan pemasok, segmentasikan rantai pasok menjadi lean dan agile, lalu evaluasi berkala dengan KPI terukur. Urutannya disengaja; tiap strategi menyiapkan fondasi bagi strategi berikutnya.</w:t>
      </w:r>
    </w:p>
    <w:p>
      <w:pPr>
        <w:numPr>
          <w:ilvl w:val="0"/>
          <w:numId w:val="1001"/>
        </w:numPr>
      </w:pPr>
      <w:r>
        <w:rPr>
          <w:b/>
          <w:bCs/>
        </w:rPr>
        <w:t xml:space="preserve">Bangun visibilitas end-to-end.</w:t>
      </w:r>
      <w:r>
        <w:t xml:space="preserve"> </w:t>
      </w:r>
      <w:hyperlink r:id="rId18">
        <w:r>
          <w:rPr>
            <w:rStyle w:val="Hyperlink"/>
          </w:rPr>
          <w:t xml:space="preserve">Survei McKinsey, Desember 2025</w:t>
        </w:r>
      </w:hyperlink>
      <w:r>
        <w:t xml:space="preserve"> </w:t>
      </w:r>
      <w:r>
        <w:t xml:space="preserve">mencatat 95% perusahaan memiliki visibilitas risiko sampai pemasok</w:t>
      </w:r>
      <w:r>
        <w:t xml:space="preserve"> </w:t>
      </w:r>
      <w:r>
        <w:rPr>
          <w:i/>
          <w:iCs/>
        </w:rPr>
        <w:t xml:space="preserve">tier-1</w:t>
      </w:r>
      <w:r>
        <w:t xml:space="preserve">, tetapi baru 42% yang menjangkau tier-2 atau lebih dalam. Satukan data stok, pesanan, dan pengiriman secara</w:t>
      </w:r>
      <w:r>
        <w:t xml:space="preserve"> </w:t>
      </w:r>
      <w:r>
        <w:rPr>
          <w:i/>
          <w:iCs/>
        </w:rPr>
        <w:t xml:space="preserve">real-time</w:t>
      </w:r>
      <w:r>
        <w:t xml:space="preserve">, lalu petakan pemasok di balik pemasok utama Anda.</w:t>
      </w:r>
    </w:p>
    <w:p>
      <w:pPr>
        <w:numPr>
          <w:ilvl w:val="0"/>
          <w:numId w:val="1001"/>
        </w:numPr>
      </w:pPr>
      <w:r>
        <w:rPr>
          <w:b/>
          <w:bCs/>
        </w:rPr>
        <w:t xml:space="preserve">Rencanakan berdasarkan permintaan, bukan kapasitas.</w:t>
      </w:r>
      <w:r>
        <w:t xml:space="preserve"> </w:t>
      </w:r>
      <w:r>
        <w:rPr>
          <w:i/>
          <w:iCs/>
        </w:rPr>
        <w:t xml:space="preserve">Forecast</w:t>
      </w:r>
      <w:r>
        <w:t xml:space="preserve"> </w:t>
      </w:r>
      <w:r>
        <w:t xml:space="preserve">(prakiraan permintaan) dibangun dari data historis dan sinyal pasar, lalu disatukan lintas fungsi lewat S&amp;OP, ritme perencanaan bulanan lintas penjualan, operasi, dan keuangan.</w:t>
      </w:r>
    </w:p>
    <w:p>
      <w:pPr>
        <w:numPr>
          <w:ilvl w:val="0"/>
          <w:numId w:val="1001"/>
        </w:numPr>
      </w:pPr>
      <w:r>
        <w:rPr>
          <w:b/>
          <w:bCs/>
        </w:rPr>
        <w:t xml:space="preserve">Diversifikasi dan perkuat kemitraan pemasok.</w:t>
      </w:r>
      <w:r>
        <w:t xml:space="preserve"> </w:t>
      </w:r>
      <w:r>
        <w:t xml:space="preserve">Survei McKinsey yang sama menemukan 82% rantai pasok terdampak tarif baru sepanjang 2025. Kurangi ketergantungan pemasok tunggal untuk material kritis; imbangi dengan kontrak fleksibel dan kolaborasi dua arah.</w:t>
      </w:r>
    </w:p>
    <w:p>
      <w:pPr>
        <w:numPr>
          <w:ilvl w:val="0"/>
          <w:numId w:val="1001"/>
        </w:numPr>
      </w:pPr>
      <w:r>
        <w:rPr>
          <w:b/>
          <w:bCs/>
        </w:rPr>
        <w:t xml:space="preserve">Segmentasikan: lean untuk permintaan stabil, agile untuk yang fluktuatif.</w:t>
      </w:r>
      <w:r>
        <w:t xml:space="preserve"> </w:t>
      </w:r>
      <w:r>
        <w:rPr>
          <w:i/>
          <w:iCs/>
        </w:rPr>
        <w:t xml:space="preserve">Lean</w:t>
      </w:r>
      <w:r>
        <w:t xml:space="preserve"> </w:t>
      </w:r>
      <w:r>
        <w:t xml:space="preserve">memangkas pemborosan demi biaya rendah;</w:t>
      </w:r>
      <w:r>
        <w:t xml:space="preserve"> </w:t>
      </w:r>
      <w:r>
        <w:rPr>
          <w:i/>
          <w:iCs/>
        </w:rPr>
        <w:t xml:space="preserve">agile</w:t>
      </w:r>
      <w:r>
        <w:t xml:space="preserve"> </w:t>
      </w:r>
      <w:r>
        <w:t xml:space="preserve">membeli kecepatan respons. Perusahaan multiproduk hampir selalu membutuhkan keduanya, dipisah per segmen produk atau pelanggan.</w:t>
      </w:r>
    </w:p>
    <w:p>
      <w:pPr>
        <w:numPr>
          <w:ilvl w:val="0"/>
          <w:numId w:val="1001"/>
        </w:numPr>
      </w:pPr>
      <w:r>
        <w:rPr>
          <w:b/>
          <w:bCs/>
        </w:rPr>
        <w:t xml:space="preserve">Evaluasi berkala dengan KPI terukur.</w:t>
      </w:r>
      <w:r>
        <w:t xml:space="preserve"> </w:t>
      </w:r>
      <w:r>
        <w:t xml:space="preserve">Evaluasi kuartalan memakai indikator baku, bukan kesan rapat.</w:t>
      </w:r>
    </w:p>
    <w:p>
      <w:pPr>
        <w:pStyle w:val="FirstParagraph"/>
      </w:pPr>
      <w:r>
        <w:t xml:space="preserve">Tabel berikut merangkum kelimanya.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Strategi</w:t>
            </w:r>
          </w:p>
        </w:tc>
        <w:tc>
          <w:tcPr/>
          <w:p>
            <w:pPr>
              <w:pStyle w:val="Compact"/>
            </w:pPr>
            <w:r>
              <w:t xml:space="preserve">Fokus utama</w:t>
            </w:r>
          </w:p>
        </w:tc>
        <w:tc>
          <w:tcPr/>
          <w:p>
            <w:pPr>
              <w:pStyle w:val="Compact"/>
            </w:pPr>
            <w:r>
              <w:t xml:space="preserve">Indikator keberhasilan</w:t>
            </w:r>
          </w:p>
        </w:tc>
      </w:tr>
      <w:tr>
        <w:tc>
          <w:tcPr/>
          <w:p>
            <w:pPr>
              <w:pStyle w:val="Compact"/>
            </w:pPr>
            <w:r>
              <w:t xml:space="preserve">Visibilitas end-to-end</w:t>
            </w:r>
          </w:p>
        </w:tc>
        <w:tc>
          <w:tcPr/>
          <w:p>
            <w:pPr>
              <w:pStyle w:val="Compact"/>
            </w:pPr>
            <w:r>
              <w:t xml:space="preserve">Pemantauan risiko melampaui tier-1; data real-time satu sumber</w:t>
            </w:r>
          </w:p>
        </w:tc>
        <w:tc>
          <w:tcPr/>
          <w:p>
            <w:pPr>
              <w:pStyle w:val="Compact"/>
            </w:pPr>
            <w:r>
              <w:t xml:space="preserve">Cakupan pemasok tier-2 terpetakan; kecepatan deteksi gangguan</w:t>
            </w:r>
          </w:p>
        </w:tc>
      </w:tr>
      <w:tr>
        <w:tc>
          <w:tcPr/>
          <w:p>
            <w:pPr>
              <w:pStyle w:val="Compact"/>
            </w:pPr>
            <w:r>
              <w:t xml:space="preserve">Perencanaan berbasis permintaan</w:t>
            </w:r>
          </w:p>
        </w:tc>
        <w:tc>
          <w:tcPr/>
          <w:p>
            <w:pPr>
              <w:pStyle w:val="Compact"/>
            </w:pPr>
            <w:r>
              <w:t xml:space="preserve">Forecast lintas fungsi lewat ritme S&amp;OP</w:t>
            </w:r>
          </w:p>
        </w:tc>
        <w:tc>
          <w:tcPr/>
          <w:p>
            <w:pPr>
              <w:pStyle w:val="Compact"/>
            </w:pPr>
            <w:r>
              <w:t xml:space="preserve">Akurasi forecast; frekuensi revisi rencana mendadak</w:t>
            </w:r>
          </w:p>
        </w:tc>
      </w:tr>
      <w:tr>
        <w:tc>
          <w:tcPr/>
          <w:p>
            <w:pPr>
              <w:pStyle w:val="Compact"/>
            </w:pPr>
            <w:r>
              <w:t xml:space="preserve">Diversifikasi pemasok</w:t>
            </w:r>
          </w:p>
        </w:tc>
        <w:tc>
          <w:tcPr/>
          <w:p>
            <w:pPr>
              <w:pStyle w:val="Compact"/>
            </w:pPr>
            <w:r>
              <w:t xml:space="preserve">Mengurangi ketergantungan pemasok tunggal; kontrak fleksibel</w:t>
            </w:r>
          </w:p>
        </w:tc>
        <w:tc>
          <w:tcPr/>
          <w:p>
            <w:pPr>
              <w:pStyle w:val="Compact"/>
            </w:pPr>
            <w:r>
              <w:t xml:space="preserve">Porsi belanja pemasok tunggal; sumber alternatif material kritis</w:t>
            </w:r>
          </w:p>
        </w:tc>
      </w:tr>
      <w:tr>
        <w:tc>
          <w:tcPr/>
          <w:p>
            <w:pPr>
              <w:pStyle w:val="Compact"/>
            </w:pPr>
            <w:r>
              <w:t xml:space="preserve">Segmentasi lean vs agile</w:t>
            </w:r>
          </w:p>
        </w:tc>
        <w:tc>
          <w:tcPr/>
          <w:p>
            <w:pPr>
              <w:pStyle w:val="Compact"/>
            </w:pPr>
            <w:r>
              <w:t xml:space="preserve">Lean menekan biaya; agile membeli kecepatan</w:t>
            </w:r>
          </w:p>
        </w:tc>
        <w:tc>
          <w:tcPr/>
          <w:p>
            <w:pPr>
              <w:pStyle w:val="Compact"/>
            </w:pPr>
            <w:r>
              <w:t xml:space="preserve">Biaya per unit (lean); kecepatan pemenuhan (agile)</w:t>
            </w:r>
          </w:p>
        </w:tc>
      </w:tr>
      <w:tr>
        <w:tc>
          <w:tcPr/>
          <w:p>
            <w:pPr>
              <w:pStyle w:val="Compact"/>
            </w:pPr>
            <w:r>
              <w:t xml:space="preserve">Evaluasi berkala dengan KPI</w:t>
            </w:r>
          </w:p>
        </w:tc>
        <w:tc>
          <w:tcPr/>
          <w:p>
            <w:pPr>
              <w:pStyle w:val="Compact"/>
            </w:pPr>
            <w:r>
              <w:t xml:space="preserve">Review kuartalan berbasis angka</w:t>
            </w:r>
          </w:p>
        </w:tc>
        <w:tc>
          <w:tcPr/>
          <w:p>
            <w:pPr>
              <w:pStyle w:val="Compact"/>
            </w:pPr>
            <w:r>
              <w:t xml:space="preserve">OTIF (on-time in-full), perputaran persediaan, akurasi forecast, cash-to-cash</w:t>
            </w:r>
          </w:p>
        </w:tc>
      </w:tr>
    </w:tbl>
    <w:bookmarkEnd w:id="19"/>
    <w:bookmarkStart w:id="21" w:name="X8de833b257b252a0ea0b02e86361d373f9e0600"/>
    <w:p>
      <w:pPr>
        <w:pStyle w:val="Heading2"/>
      </w:pPr>
      <w:r>
        <w:t xml:space="preserve">Bagaimana Urutan Menerapkan Kelima Strategi Ini?</w:t>
      </w:r>
    </w:p>
    <w:p>
      <w:pPr>
        <w:pStyle w:val="FirstParagraph"/>
      </w:pPr>
      <w:r>
        <w:t xml:space="preserve">Mulai dari data dan proses, bukan teknologi. Visibilitas adalah prasyarat perencanaan permintaan; tanpa data bersih, forecast apa pun meleset. Kesalahan yang paling sering ditemui di lapangan: membeli software perencanaan sebelum proses S&amp;OP-nya berjalan, sehingga alat mahal dipakai menghitung angka yang tidak disepakati siapa pun.</w:t>
      </w:r>
    </w:p>
    <w:p>
      <w:pPr>
        <w:pStyle w:val="BodyText"/>
      </w:pPr>
      <w:r>
        <w:t xml:space="preserve">Tiga tahap penerapannya:</w:t>
      </w:r>
    </w:p>
    <w:p>
      <w:pPr>
        <w:pStyle w:val="Compact"/>
        <w:numPr>
          <w:ilvl w:val="0"/>
          <w:numId w:val="1002"/>
        </w:numPr>
      </w:pPr>
      <w:r>
        <w:rPr>
          <w:b/>
          <w:bCs/>
        </w:rPr>
        <w:t xml:space="preserve">Rapikan fondasi data.</w:t>
      </w:r>
      <w:r>
        <w:t xml:space="preserve"> </w:t>
      </w:r>
      <w:r>
        <w:t xml:space="preserve">Bersihkan data induk material dan pemasok, lalu satukan visibilitas stok, pesanan, dan pengiriman di ERP yang sudah ada.</w:t>
      </w:r>
    </w:p>
    <w:p>
      <w:pPr>
        <w:pStyle w:val="Compact"/>
        <w:numPr>
          <w:ilvl w:val="0"/>
          <w:numId w:val="1002"/>
        </w:numPr>
      </w:pPr>
      <w:r>
        <w:rPr>
          <w:b/>
          <w:bCs/>
        </w:rPr>
        <w:t xml:space="preserve">Bangun ritme S&amp;OP bulanan.</w:t>
      </w:r>
      <w:r>
        <w:t xml:space="preserve"> </w:t>
      </w:r>
      <w:r>
        <w:t xml:space="preserve">Targetnya satu angka forecast yang disepakati bersama. Dalam praktik implementasi, S&amp;OP yang gagal biasanya bukan karena alatnya, melainkan karena penjualan dan operasi memakai angka yang berbeda.</w:t>
      </w:r>
    </w:p>
    <w:p>
      <w:pPr>
        <w:pStyle w:val="Compact"/>
        <w:numPr>
          <w:ilvl w:val="0"/>
          <w:numId w:val="1002"/>
        </w:numPr>
      </w:pPr>
      <w:r>
        <w:rPr>
          <w:b/>
          <w:bCs/>
        </w:rPr>
        <w:t xml:space="preserve">Otomasikan saat kompleksitas naik.</w:t>
      </w:r>
      <w:r>
        <w:t xml:space="preserve"> </w:t>
      </w:r>
      <w:r>
        <w:t xml:space="preserve">Ketika jumlah SKU dan lokasi bertambah, platform seperti SAP Integrated Business Planning (SAP IBP), solusi</w:t>
      </w:r>
      <w:r>
        <w:t xml:space="preserve"> </w:t>
      </w:r>
      <w:r>
        <w:rPr>
          <w:i/>
          <w:iCs/>
        </w:rPr>
        <w:t xml:space="preserve">cloud</w:t>
      </w:r>
      <w:r>
        <w:t xml:space="preserve"> </w:t>
      </w:r>
      <w:r>
        <w:t xml:space="preserve">di atas SAP HANA, menyatukan S&amp;OP, forecasting &amp; demand, response &amp; supply, demand-driven replenishment, dan inventory planning, lengkap dengan simulasi</w:t>
      </w:r>
      <w:r>
        <w:t xml:space="preserve"> </w:t>
      </w:r>
      <w:r>
        <w:rPr>
          <w:i/>
          <w:iCs/>
        </w:rPr>
        <w:t xml:space="preserve">what-if</w:t>
      </w:r>
      <w:r>
        <w:t xml:space="preserve"> </w:t>
      </w:r>
      <w:r>
        <w:t xml:space="preserve">untuk menguji skenario disrupsi. Peran</w:t>
      </w:r>
      <w:r>
        <w:t xml:space="preserve"> </w:t>
      </w:r>
      <w:hyperlink r:id="rId20">
        <w:r>
          <w:rPr>
            <w:rStyle w:val="Hyperlink"/>
          </w:rPr>
          <w:t xml:space="preserve">SAP IBP untuk proses S&amp;OP</w:t>
        </w:r>
      </w:hyperlink>
      <w:r>
        <w:t xml:space="preserve"> </w:t>
      </w:r>
      <w:r>
        <w:t xml:space="preserve">dibahas rinci di artikel terpisah.</w:t>
      </w:r>
    </w:p>
    <w:bookmarkEnd w:id="21"/>
    <w:bookmarkStart w:id="22" w:name="Xe7d8a6ff455987fbc1ac540a88c4e62761a079f"/>
    <w:p>
      <w:pPr>
        <w:pStyle w:val="Heading2"/>
      </w:pPr>
      <w:r>
        <w:t xml:space="preserve">Kapan Strategi Rantai Pasok Anda Perlu Dirombak?</w:t>
      </w:r>
    </w:p>
    <w:p>
      <w:pPr>
        <w:pStyle w:val="FirstParagraph"/>
      </w:pPr>
      <w:r>
        <w:t xml:space="preserve">Strategi rantai pasok bukan dokumen sekali jadi; rombak saat pemicunya muncul, bukan hanya saat jadwal evaluasi tiba. Pemicu yang umum: disrupsi pasokan berulang,</w:t>
      </w:r>
      <w:r>
        <w:t xml:space="preserve"> </w:t>
      </w:r>
      <w:r>
        <w:rPr>
          <w:i/>
          <w:iCs/>
        </w:rPr>
        <w:t xml:space="preserve">service level</w:t>
      </w:r>
      <w:r>
        <w:t xml:space="preserve"> </w:t>
      </w:r>
      <w:r>
        <w:t xml:space="preserve">menurun, biaya logistik naik signifikan, ekspansi pasar atau kanal baru, serta perubahan regulasi dan tarif. Satu pemicu saja cukup untuk membuka ulang asumsi strategi.</w:t>
      </w:r>
    </w:p>
    <w:p>
      <w:pPr>
        <w:pStyle w:val="BodyText"/>
      </w:pPr>
      <w:r>
        <w:t xml:space="preserve">Dua hal yang jarang diakui vendor. Pertama, tidak ada strategi universal: lean dan agile adalah trade-off per segmen, bukan peringkat; meniru strategi pesaing bisa salah sasaran. Kedua, software bukan strategi; sistem hanya mempercepat strategi yang arahnya sudah jelas.</w:t>
      </w:r>
    </w:p>
    <w:p>
      <w:pPr>
        <w:pStyle w:val="BodyText"/>
      </w:pPr>
      <w:r>
        <w:t xml:space="preserve">Gartner (Maret 2026) memprediksi 60% disrupsi supply chain tertangani tanpa intervensi manusia pada 2031, didorong</w:t>
      </w:r>
      <w:r>
        <w:t xml:space="preserve"> </w:t>
      </w:r>
      <w:r>
        <w:rPr>
          <w:i/>
          <w:iCs/>
        </w:rPr>
        <w:t xml:space="preserve">agentic AI</w:t>
      </w:r>
      <w:r>
        <w:t xml:space="preserve">. Otomasi sejauh itu tetap berdiri di atas fondasi yang sama: data rapi dan proses perencanaan yang disiplin.</w:t>
      </w:r>
    </w:p>
    <w:bookmarkEnd w:id="22"/>
    <w:bookmarkStart w:id="27" w:name="faq-pertanyaan-yang-sering-diajukan"/>
    <w:p>
      <w:pPr>
        <w:pStyle w:val="Heading2"/>
      </w:pPr>
      <w:r>
        <w:t xml:space="preserve">FAQ (Pertanyaan yang Sering Diajukan)</w:t>
      </w:r>
    </w:p>
    <w:bookmarkStart w:id="23" w:name="X762500169c70f1ecb8535c3d8509dd9db5d0a37"/>
    <w:p>
      <w:pPr>
        <w:pStyle w:val="Heading3"/>
      </w:pPr>
      <w:r>
        <w:t xml:space="preserve">Apa perbedaan strategi lean dan agile supply chain?</w:t>
      </w:r>
    </w:p>
    <w:p>
      <w:pPr>
        <w:pStyle w:val="FirstParagraph"/>
      </w:pPr>
      <w:r>
        <w:t xml:space="preserve">Lean menekan biaya dengan menghilangkan pemborosan, klasiknya 7 jenis pemborosan versi Toyota Production System, dan cocok untuk permintaan yang stabil. Agile mengutamakan kecepatan respons terhadap permintaan fluktuatif. Keduanya trade-off, bukan peringkat; banyak perusahaan menggabungkan keduanya per segmen produk lewat pendekatan hibrida.</w:t>
      </w:r>
    </w:p>
    <w:bookmarkEnd w:id="23"/>
    <w:bookmarkStart w:id="24" w:name="X8e787ef36819102e677cc56065c8e22f7d374c0"/>
    <w:p>
      <w:pPr>
        <w:pStyle w:val="Heading3"/>
      </w:pPr>
      <w:r>
        <w:t xml:space="preserve">KPI apa yang dipakai mengukur keberhasilan strategi supply chain?</w:t>
      </w:r>
    </w:p>
    <w:p>
      <w:pPr>
        <w:pStyle w:val="FirstParagraph"/>
      </w:pPr>
      <w:r>
        <w:t xml:space="preserve">Mulai dari empat indikator: OTIF (on-time in-full), perputaran persediaan, akurasi forecast, dan cash-to-cash cycle time. Ukur per kuartal dan bandingkan antarperiode agar tren terlihat, bukan sekadar snapshot satu bulan. Tetapkan target dari baseline internal perusahaan, bukan patokan generik.</w:t>
      </w:r>
    </w:p>
    <w:bookmarkEnd w:id="24"/>
    <w:bookmarkStart w:id="26" w:name="X52ecac07fdd5079adb9fd996e88dc407364df6d"/>
    <w:p>
      <w:pPr>
        <w:pStyle w:val="Heading3"/>
      </w:pPr>
      <w:r>
        <w:t xml:space="preserve">Apakah menjalankan strategi ini butuh software khusus seperti SAP IBP?</w:t>
      </w:r>
    </w:p>
    <w:p>
      <w:pPr>
        <w:pStyle w:val="FirstParagraph"/>
      </w:pPr>
      <w:r>
        <w:t xml:space="preserve">Tidak di tahap awal; visibilitas dan ritme S&amp;OP bisa dimulai dengan ERP dan spreadsheet yang ada. Software perencanaan menjadi kebutuhan saat SKU dan lokasi bertambah banyak. Konteksnya nyata:</w:t>
      </w:r>
      <w:r>
        <w:t xml:space="preserve"> </w:t>
      </w:r>
      <w:hyperlink r:id="rId25">
        <w:r>
          <w:rPr>
            <w:rStyle w:val="Hyperlink"/>
          </w:rPr>
          <w:t xml:space="preserve">Gartner, Februari 2025</w:t>
        </w:r>
      </w:hyperlink>
      <w:r>
        <w:t xml:space="preserve"> </w:t>
      </w:r>
      <w:r>
        <w:t xml:space="preserve">menemukan baru 29% organisasi supply chain yang telah membangun kapabilitas untuk performa masa depan.</w:t>
      </w:r>
    </w:p>
    <w:bookmarkEnd w:id="26"/>
    <w:bookmarkEnd w:id="27"/>
    <w:bookmarkStart w:id="28" w:name="kesimpulan"/>
    <w:p>
      <w:pPr>
        <w:pStyle w:val="Heading2"/>
      </w:pPr>
      <w:r>
        <w:t xml:space="preserve">Kesimpulan</w:t>
      </w:r>
    </w:p>
    <w:p>
      <w:pPr>
        <w:pStyle w:val="FirstParagraph"/>
      </w:pPr>
      <w:r>
        <w:t xml:space="preserve">Kelima strategi ini saling menopang: visibilitas memberi data, perencanaan memberi arah, diversifikasi dan segmentasi memberi ketahanan, KPI menjaga kejujuran evaluasi. Mulailah dari mata rantai paling lemah di perusahaan Anda, bukan kelimanya sekaligus. Sebagai SAP Platinum Partner melalui keanggotaan United VARs, Soltius mendampingi perusahaan merancang dan mengimplementasikan perencanaan rantai pasok berbasis SAP IBP, termasuk go-live SAP IBP S&amp;OP di PT Kino Indonesia dalam 4 bulan, hingga dukungan pasca go-live.</w:t>
      </w:r>
    </w:p>
    <w:p>
      <w:pPr>
        <w:pStyle w:val="BodyText"/>
      </w:pPr>
      <w:r>
        <w:t xml:space="preserve">Untuk mendiskusikan kesiapan strategi rantai pasok dan penerapan SAP IBP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www.gartner.com/en/newsroom/press-releases/2025-02-18-gartner-survey-shows-only-29-percent-of-supply-chain-organizations-have-built-necessary-capabilities-to-deliver-on-future-performance" TargetMode="External" /><Relationship Type="http://schemas.openxmlformats.org/officeDocument/2006/relationships/hyperlink" Id="rId18" Target="https://www.mckinsey.com/capabilities/operations/our-insights/supply-chain-risk-survey" TargetMode="External" /><Relationship Type="http://schemas.openxmlformats.org/officeDocument/2006/relationships/hyperlink" Id="rId20"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_rels/footnotes.xml.rels><?xml version="1.0" encoding="UTF-8"?><Relationships xmlns="http://schemas.openxmlformats.org/package/2006/relationships"><Relationship Type="http://schemas.openxmlformats.org/officeDocument/2006/relationships/hyperlink" Id="rId25" Target="https://www.gartner.com/en/newsroom/press-releases/2025-02-18-gartner-survey-shows-only-29-percent-of-supply-chain-organizations-have-built-necessary-capabilities-to-deliver-on-future-performance" TargetMode="External" /><Relationship Type="http://schemas.openxmlformats.org/officeDocument/2006/relationships/hyperlink" Id="rId18" Target="https://www.mckinsey.com/capabilities/operations/our-insights/supply-chain-risk-survey" TargetMode="External" /><Relationship Type="http://schemas.openxmlformats.org/officeDocument/2006/relationships/hyperlink" Id="rId20"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2026-07-07T01:29:10Z</dcterms:created>
  <dcterms:modified xsi:type="dcterms:W3CDTF">2026-07-07T01:29:10Z</dcterms:modified>
</cp:coreProperties>
</file>

<file path=docProps/custom.xml><?xml version="1.0" encoding="utf-8"?>
<Properties xmlns="http://schemas.openxmlformats.org/officeDocument/2006/custom-properties" xmlns:vt="http://schemas.openxmlformats.org/officeDocument/2006/docPropsVTypes"/>
</file>