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"Estimasi Timeline Migrasi RISE with SAP: Dari Assessment hingga Go-Live"</w:t>
      </w:r>
      <w:r>
        <w:br/>
      </w:r>
      <w:r>
        <w:rPr>
          <w:rStyle w:val="FunctionTok"/>
        </w:rPr>
        <w:t xml:space="preserve">meta_title</w:t>
      </w:r>
      <w:r>
        <w:rPr>
          <w:rStyle w:val="KeywordTok"/>
        </w:rPr>
        <w:t xml:space="preserve">:</w:t>
      </w:r>
      <w:r>
        <w:rPr>
          <w:rStyle w:val="AttributeTok"/>
        </w:rPr>
        <w:t xml:space="preserve"> </w:t>
      </w:r>
      <w:r>
        <w:rPr>
          <w:rStyle w:val="StringTok"/>
        </w:rPr>
        <w:t xml:space="preserve">"Timeline Migrasi RISE with SAP: Estimasi Durasi per Fase"</w:t>
      </w:r>
      <w:r>
        <w:br/>
      </w:r>
      <w:r>
        <w:rPr>
          <w:rStyle w:val="FunctionTok"/>
        </w:rPr>
        <w:t xml:space="preserve">meta_description</w:t>
      </w:r>
      <w:r>
        <w:rPr>
          <w:rStyle w:val="KeywordTok"/>
        </w:rPr>
        <w:t xml:space="preserve">:</w:t>
      </w:r>
      <w:r>
        <w:rPr>
          <w:rStyle w:val="AttributeTok"/>
        </w:rPr>
        <w:t xml:space="preserve"> </w:t>
      </w:r>
      <w:r>
        <w:rPr>
          <w:rStyle w:val="StringTok"/>
        </w:rPr>
        <w:t xml:space="preserve">"Timeline migrasi RISE with SAP: durasi enam fase dari assessment hingga go-live, angka resmi SAP 12–15 bulan brownfield, dan hitung mundur deadline ECC 2027."</w:t>
      </w:r>
      <w:r>
        <w:br/>
      </w:r>
      <w:r>
        <w:rPr>
          <w:rStyle w:val="FunctionTok"/>
        </w:rPr>
        <w:t xml:space="preserve">slug</w:t>
      </w:r>
      <w:r>
        <w:rPr>
          <w:rStyle w:val="KeywordTok"/>
        </w:rPr>
        <w:t xml:space="preserve">:</w:t>
      </w:r>
      <w:r>
        <w:rPr>
          <w:rStyle w:val="AttributeTok"/>
        </w:rPr>
        <w:t xml:space="preserve"> </w:t>
      </w:r>
      <w:r>
        <w:rPr>
          <w:rStyle w:val="StringTok"/>
        </w:rPr>
        <w:t xml:space="preserve">"timeline-migrasi-rise-with-sap"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"timeline migrasi rise with sap"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"lama migrasi sap ke cloud"</w:t>
      </w:r>
      <w:r>
        <w:rPr>
          <w:rStyle w:val="KeywordTok"/>
        </w:rPr>
        <w:t xml:space="preserve">,</w:t>
      </w:r>
      <w:r>
        <w:rPr>
          <w:rStyle w:val="AttributeTok"/>
        </w:rPr>
        <w:t xml:space="preserve"> </w:t>
      </w:r>
      <w:r>
        <w:rPr>
          <w:rStyle w:val="StringTok"/>
        </w:rPr>
        <w:t xml:space="preserve">"fase migrasi rise with sap"</w:t>
      </w:r>
      <w:r>
        <w:rPr>
          <w:rStyle w:val="KeywordTok"/>
        </w:rPr>
        <w:t xml:space="preserve">,</w:t>
      </w:r>
      <w:r>
        <w:rPr>
          <w:rStyle w:val="AttributeTok"/>
        </w:rPr>
        <w:t xml:space="preserve"> </w:t>
      </w:r>
      <w:r>
        <w:rPr>
          <w:rStyle w:val="StringTok"/>
        </w:rPr>
        <w:t xml:space="preserve">"sap activate"</w:t>
      </w:r>
      <w:r>
        <w:rPr>
          <w:rStyle w:val="KeywordTok"/>
        </w:rPr>
        <w:t xml:space="preserve">,</w:t>
      </w:r>
      <w:r>
        <w:rPr>
          <w:rStyle w:val="AttributeTok"/>
        </w:rPr>
        <w:t xml:space="preserve"> </w:t>
      </w:r>
      <w:r>
        <w:rPr>
          <w:rStyle w:val="StringTok"/>
        </w:rPr>
        <w:t xml:space="preserve">"durasi implementasi sap s/4hana"</w:t>
      </w:r>
      <w:r>
        <w:rPr>
          <w:rStyle w:val="KeywordTok"/>
        </w:rPr>
        <w:t xml:space="preserve">,</w:t>
      </w:r>
      <w:r>
        <w:rPr>
          <w:rStyle w:val="AttributeTok"/>
        </w:rPr>
        <w:t xml:space="preserve"> </w:t>
      </w:r>
      <w:r>
        <w:rPr>
          <w:rStyle w:val="StringTok"/>
        </w:rPr>
        <w:t xml:space="preserve">"konversi brownfield"</w:t>
      </w:r>
      <w:r>
        <w:rPr>
          <w:rStyle w:val="KeywordTok"/>
        </w:rPr>
        <w:t xml:space="preserve">,</w:t>
      </w:r>
      <w:r>
        <w:rPr>
          <w:rStyle w:val="AttributeTok"/>
        </w:rPr>
        <w:t xml:space="preserve"> </w:t>
      </w:r>
      <w:r>
        <w:rPr>
          <w:rStyle w:val="StringTok"/>
        </w:rPr>
        <w:t xml:space="preserve">"deadline sap ecc 2027"</w:t>
      </w:r>
      <w:r>
        <w:rPr>
          <w:rStyle w:val="KeywordTok"/>
        </w:rPr>
        <w:t xml:space="preserve">,</w:t>
      </w:r>
      <w:r>
        <w:rPr>
          <w:rStyle w:val="AttributeTok"/>
        </w:rPr>
        <w:t xml:space="preserve"> </w:t>
      </w:r>
      <w:r>
        <w:rPr>
          <w:rStyle w:val="StringTok"/>
        </w:rPr>
        <w:t xml:space="preserve">"hypercare pasca go-live"</w:t>
      </w:r>
      <w:r>
        <w:rPr>
          <w:rStyle w:val="KeywordTok"/>
        </w:rPr>
        <w:t xml:space="preserve">,</w:t>
      </w:r>
      <w:r>
        <w:rPr>
          <w:rStyle w:val="AttributeTok"/>
        </w:rPr>
        <w:t xml:space="preserve"> </w:t>
      </w:r>
      <w:r>
        <w:rPr>
          <w:rStyle w:val="StringTok"/>
        </w:rPr>
        <w:t xml:space="preserve">"kick-off proyek migrasi"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"https://www.soltius.co.id/id/blog/Apa-Saja-yang-Termasuk-dalam-Rise-with-SAP"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"apa saja yang termasuk dalam RISE with SAP"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"https://community.sap.com/t5/enterprise-resource-planning-blog-posts-by-sap/sap-s-4hana-transformation-pocket-guide/ba-p/13791072"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S/4HANA Transformation Pocket Guide (SAP, Agustus 2024): durasi end-to-end brownfield 12-15 bulan, bluefield 12-18 bulan, greenfield 15-21 bulan; Tabel 2 durasi indikatif per fase SAP Activate (Discover-Deploy)"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SAP Business Suite 7 (termasuk SAP ECC) berakhir akhir 2027 - titik hitung mundur kick-off"</w:t>
      </w:r>
      <w:r>
        <w:br/>
      </w:r>
      <w:r>
        <w:rPr>
          <w:rStyle w:val="FunctionTok"/>
        </w:rPr>
        <w:t xml:space="preserve">brief_id</w:t>
      </w:r>
      <w:r>
        <w:rPr>
          <w:rStyle w:val="KeywordTok"/>
        </w:rPr>
        <w:t xml:space="preserve">:</w:t>
      </w:r>
      <w:r>
        <w:rPr>
          <w:rStyle w:val="AttributeTok"/>
        </w:rPr>
        <w:t xml:space="preserve"> </w:t>
      </w:r>
      <w:r>
        <w:rPr>
          <w:rStyle w:val="StringTok"/>
        </w:rPr>
        <w:t xml:space="preserve">"timeline-migrasi-rise-c01"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"2026-07-06"</w:t>
      </w:r>
      <w:r>
        <w:br/>
      </w:r>
      <w:r>
        <w:rPr>
          <w:rStyle w:val="FunctionTok"/>
        </w:rPr>
        <w:t xml:space="preserve">word_count</w:t>
      </w:r>
      <w:r>
        <w:rPr>
          <w:rStyle w:val="KeywordTok"/>
        </w:rPr>
        <w:t xml:space="preserve">:</w:t>
      </w:r>
      <w:r>
        <w:rPr>
          <w:rStyle w:val="AttributeTok"/>
        </w:rPr>
        <w:t xml:space="preserve"> </w:t>
      </w:r>
      <w:r>
        <w:rPr>
          <w:rStyle w:val="DecValTok"/>
        </w:rPr>
        <w:t xml:space="preserve">966</w:t>
      </w:r>
    </w:p>
    <w:p>
      <w:r>
        <w:pict>
          <v:rect style="width:0;height:1.5pt" o:hralign="center" o:hrstd="t" o:hr="t"/>
        </w:pict>
      </w:r>
    </w:p>
    <w:bookmarkEnd w:id="16"/>
    <w:bookmarkStart w:id="29" w:name="X40b25a27a49d8f10ba2305c464939a6b35f24d0"/>
    <w:p>
      <w:pPr>
        <w:pStyle w:val="Heading1"/>
      </w:pPr>
      <w:r>
        <w:t xml:space="preserve">Estimasi Timeline Migrasi RISE with SAP: Dari Assessment hingga Go-Live</w:t>
      </w:r>
    </w:p>
    <w:p>
      <w:pPr>
        <w:pStyle w:val="FirstParagraph"/>
      </w:pPr>
      <w:r>
        <w:t xml:space="preserve">Proyek sudah disetujui, anggaran dikunci, lalu direksi bertanya: kapan go-live? Pertanyaan itu sulit dijawab tanpa peta fase yang jelas, apalagi tenggat dukungan SAP ECC terus berjalan. Artikel ini menyusun timeline migrasi RISE with SAP per fase, memakai angka resmi SAP sebagai acuan, dan menghitung mundur kapan paling lambat proyek</w:t>
      </w:r>
      <w:r>
        <w:t xml:space="preserve"> </w:t>
      </w:r>
      <w:hyperlink r:id="rId17">
        <w:r>
          <w:rPr>
            <w:rStyle w:val="Hyperlink"/>
          </w:rPr>
          <w:t xml:space="preserve">migrasi ERP ke cloud</w:t>
        </w:r>
      </w:hyperlink>
      <w:r>
        <w:t xml:space="preserve"> </w:t>
      </w:r>
      <w:r>
        <w:t xml:space="preserve">Anda harus dimulai.</w:t>
      </w:r>
    </w:p>
    <w:p>
      <w:pPr>
        <w:pStyle w:val="BlockText"/>
      </w:pPr>
      <w:r>
        <w:rPr>
          <w:b/>
          <w:bCs/>
        </w:rPr>
        <w:t xml:space="preserve">Ringkasnya:</w:t>
      </w:r>
      <w:r>
        <w:t xml:space="preserve"> </w:t>
      </w:r>
      <w:r>
        <w:t xml:space="preserve">timeline migrasi RISE with SAP dari assessment hingga go-live mengikuti enam fase metodologi SAP Activate — Discover, Prepare, Explore, Realize, Deploy, dan Run. Estimasi resmi SAP: konversi brownfield 12–15 bulan, bluefield 12–18 bulan, greenfield 15–21 bulan end-to-end; sejumlah proyek terbukti tuntas dalam 5–6 bulan.</w:t>
      </w:r>
    </w:p>
    <w:bookmarkStart w:id="19" w:name="Xb3f5b307180b4af810c84410b08dbad2dd67068"/>
    <w:p>
      <w:pPr>
        <w:pStyle w:val="Heading2"/>
      </w:pPr>
      <w:r>
        <w:t xml:space="preserve">Berapa Lama Migrasi RISE with SAP dari Assessment hingga Go-Live?</w:t>
      </w:r>
    </w:p>
    <w:p>
      <w:pPr>
        <w:pStyle w:val="FirstParagraph"/>
      </w:pPr>
      <w:r>
        <w:t xml:space="preserve">Di lapangan, rentangnya lebar. Bertrandt AG, perusahaan jasa engineering asal Jerman, go-live SAP S/4HANA Cloud Private Edition dalam waktu kurang dari 5 bulan sejak kick-off (</w:t>
      </w:r>
      <w:r>
        <w:rPr>
          <w:i/>
          <w:iCs/>
        </w:rPr>
        <w:t xml:space="preserve">case study</w:t>
      </w:r>
      <w:r>
        <w:t xml:space="preserve"> </w:t>
      </w:r>
      <w:r>
        <w:t xml:space="preserve">resmi SAP, Mei 2025). Di Indonesia, PT Tigaraksa Satria Tbk memulai Project SUNRISE pada 8 Juli 2024 dan go-live pada 6 Januari 2025, sekitar enam bulan kemudian (Liputan6, Januari 2025).</w:t>
      </w:r>
    </w:p>
    <w:p>
      <w:pPr>
        <w:pStyle w:val="BodyText"/>
      </w:pPr>
      <w:r>
        <w:t xml:space="preserve">Dua contoh itu bukan janji umum. Bertrandt menempuh pendekatan dua tahap, memindahkan infrastruktur lebih dulu secara</w:t>
      </w:r>
      <w:r>
        <w:t xml:space="preserve"> </w:t>
      </w:r>
      <w:r>
        <w:rPr>
          <w:i/>
          <w:iCs/>
        </w:rPr>
        <w:t xml:space="preserve">lift-and-shift</w:t>
      </w:r>
      <w:r>
        <w:t xml:space="preserve"> </w:t>
      </w:r>
      <w:r>
        <w:t xml:space="preserve">sebelum transisi ke cloud ERP, dengan empat unit bisnis go-live serentak. Tigaraksa Satria menjalankan RISE with SAP S/4HANA Private Cloud Edition berbasis Google Cloud Platform untuk lingkup satu perusahaan distribusi. Lingkup dan pendekatan yang terkelola memang bisa jauh lebih cepat; proyek dengan banyak entitas dan</w:t>
      </w:r>
      <w:r>
        <w:t xml:space="preserve"> </w:t>
      </w:r>
      <w:r>
        <w:rPr>
          <w:i/>
          <w:iCs/>
        </w:rPr>
        <w:t xml:space="preserve">custom code</w:t>
      </w:r>
      <w:r>
        <w:t xml:space="preserve"> </w:t>
      </w:r>
      <w:r>
        <w:t xml:space="preserve">wajar berada di ujung atas rentang.</w:t>
      </w:r>
    </w:p>
    <w:p>
      <w:pPr>
        <w:pStyle w:val="BodyText"/>
      </w:pPr>
      <w:r>
        <w:t xml:space="preserve">Penentu terbesar total durasi adalah jalur migrasi: jalur</w:t>
      </w:r>
      <w:r>
        <w:t xml:space="preserve"> </w:t>
      </w:r>
      <w:r>
        <w:rPr>
          <w:i/>
          <w:iCs/>
        </w:rPr>
        <w:t xml:space="preserve">brownfield</w:t>
      </w:r>
      <w:r>
        <w:t xml:space="preserve"> </w:t>
      </w:r>
      <w:r>
        <w:t xml:space="preserve">yang mengonversi sistem berjalan memiliki rentang waktu berbeda dari</w:t>
      </w:r>
      <w:r>
        <w:t xml:space="preserve"> </w:t>
      </w:r>
      <w:r>
        <w:rPr>
          <w:i/>
          <w:iCs/>
        </w:rPr>
        <w:t xml:space="preserve">new implementation greenfield</w:t>
      </w:r>
      <w:r>
        <w:t xml:space="preserve"> </w:t>
      </w:r>
      <w:r>
        <w:t xml:space="preserve">yang membangun ulang dari standar. RISE with SAP sendiri membundel SAP S/4HANA Cloud Private Edition, infrastruktur cloud, dan layanan transisi dalam satu langganan; rinciannya bisa Anda baca di ulasan</w:t>
      </w:r>
      <w:r>
        <w:t xml:space="preserve"> </w:t>
      </w:r>
      <w:hyperlink r:id="rId18">
        <w:r>
          <w:rPr>
            <w:rStyle w:val="Hyperlink"/>
          </w:rPr>
          <w:t xml:space="preserve">apa saja yang termasuk dalam RISE with SAP</w:t>
        </w:r>
      </w:hyperlink>
      <w:r>
        <w:t xml:space="preserve">.</w:t>
      </w:r>
    </w:p>
    <w:bookmarkEnd w:id="19"/>
    <w:bookmarkStart w:id="21" w:name="Xf126d20a60ea381e8219fcf96b1534742b02acf"/>
    <w:p>
      <w:pPr>
        <w:pStyle w:val="Heading2"/>
      </w:pPr>
      <w:r>
        <w:t xml:space="preserve">Enam Fase Migrasi RISE with SAP dan Estimasi Durasi Tiap Fase</w:t>
      </w:r>
    </w:p>
    <w:p>
      <w:pPr>
        <w:pStyle w:val="FirstParagraph"/>
      </w:pPr>
      <w:r>
        <w:t xml:space="preserve">Keenam fase berjalan berurutan: Discover, Prepare, Explore, Realize, Deploy, lalu Run. SAP menerbitkan durasi indikatif per fase dalam</w:t>
      </w:r>
      <w:r>
        <w:t xml:space="preserve"> </w:t>
      </w:r>
      <w:hyperlink r:id="rId20">
        <w:r>
          <w:rPr>
            <w:rStyle w:val="Hyperlink"/>
          </w:rPr>
          <w:t xml:space="preserve">SAP S/4HANA Transformation Pocket Guide</w:t>
        </w:r>
      </w:hyperlink>
      <w:r>
        <w:t xml:space="preserve"> </w:t>
      </w:r>
      <w:r>
        <w:t xml:space="preserve">(SAP Community, Agustus 2024) dari Discover sampai Deploy; hanya fase Run yang tidak diberi angka resmi. Tabel berikut memakai jalur konversi brownfield sebagai contoh.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 (SAP Activate)</w:t>
            </w:r>
          </w:p>
        </w:tc>
        <w:tc>
          <w:tcPr/>
          <w:p>
            <w:pPr>
              <w:pStyle w:val="Compact"/>
            </w:pPr>
            <w:r>
              <w:t xml:space="preserve">Aktivitas kunci</w:t>
            </w:r>
          </w:p>
        </w:tc>
        <w:tc>
          <w:tcPr/>
          <w:p>
            <w:pPr>
              <w:pStyle w:val="Compact"/>
            </w:pPr>
            <w:r>
              <w:t xml:space="preserve">Durasi indikatif</w:t>
            </w:r>
          </w:p>
        </w:tc>
        <w:tc>
          <w:tcPr/>
          <w:p>
            <w:pPr>
              <w:pStyle w:val="Compact"/>
            </w:pPr>
            <w:r>
              <w:t xml:space="preserve">Basis angka</w:t>
            </w:r>
          </w:p>
        </w:tc>
      </w:tr>
      <w:tr>
        <w:tc>
          <w:tcPr/>
          <w:p>
            <w:pPr>
              <w:pStyle w:val="Compact"/>
            </w:pPr>
            <w:r>
              <w:t xml:space="preserve">Discover</w:t>
            </w:r>
          </w:p>
        </w:tc>
        <w:tc>
          <w:tcPr/>
          <w:p>
            <w:pPr>
              <w:pStyle w:val="Compact"/>
            </w:pPr>
            <w:r>
              <w:t xml:space="preserve">Assessment sistem dan lingkup, SAP Readiness Check,</w:t>
            </w:r>
            <w:r>
              <w:t xml:space="preserve"> </w:t>
            </w:r>
            <w:r>
              <w:rPr>
                <w:i/>
                <w:iCs/>
              </w:rPr>
              <w:t xml:space="preserve">business case</w:t>
            </w:r>
          </w:p>
        </w:tc>
        <w:tc>
          <w:tcPr/>
          <w:p>
            <w:pPr>
              <w:pStyle w:val="Compact"/>
            </w:pPr>
            <w:r>
              <w:t xml:space="preserve">2–3 bulan</w:t>
            </w:r>
          </w:p>
        </w:tc>
        <w:tc>
          <w:tcPr/>
          <w:p>
            <w:pPr>
              <w:pStyle w:val="Compact"/>
            </w:pPr>
            <w:r>
              <w:t xml:space="preserve">SAP (2024)</w:t>
            </w:r>
          </w:p>
        </w:tc>
      </w:tr>
      <w:tr>
        <w:tc>
          <w:tcPr/>
          <w:p>
            <w:pPr>
              <w:pStyle w:val="Compact"/>
            </w:pPr>
            <w:r>
              <w:t xml:space="preserve">Prepare</w:t>
            </w:r>
          </w:p>
        </w:tc>
        <w:tc>
          <w:tcPr/>
          <w:p>
            <w:pPr>
              <w:pStyle w:val="Compact"/>
            </w:pPr>
            <w:r>
              <w:t xml:space="preserve">Kontrak,</w:t>
            </w:r>
            <w:r>
              <w:t xml:space="preserve"> </w:t>
            </w:r>
            <w:r>
              <w:rPr>
                <w:i/>
                <w:iCs/>
              </w:rPr>
              <w:t xml:space="preserve">provisioning</w:t>
            </w:r>
            <w:r>
              <w:t xml:space="preserve"> </w:t>
            </w:r>
            <w:r>
              <w:t xml:space="preserve">lingkungan cloud, pembentukan tim proyek</w:t>
            </w:r>
          </w:p>
        </w:tc>
        <w:tc>
          <w:tcPr/>
          <w:p>
            <w:pPr>
              <w:pStyle w:val="Compact"/>
            </w:pPr>
            <w:r>
              <w:t xml:space="preserve">2–3 bulan</w:t>
            </w:r>
          </w:p>
        </w:tc>
        <w:tc>
          <w:tcPr/>
          <w:p>
            <w:pPr>
              <w:pStyle w:val="Compact"/>
            </w:pPr>
            <w:r>
              <w:t xml:space="preserve">SAP (2024)</w:t>
            </w:r>
          </w:p>
        </w:tc>
      </w:tr>
      <w:tr>
        <w:tc>
          <w:tcPr/>
          <w:p>
            <w:pPr>
              <w:pStyle w:val="Compact"/>
            </w:pPr>
            <w:r>
              <w:t xml:space="preserve">Explore</w:t>
            </w:r>
          </w:p>
        </w:tc>
        <w:tc>
          <w:tcPr/>
          <w:p>
            <w:pPr>
              <w:pStyle w:val="Compact"/>
            </w:pPr>
            <w:r>
              <w:t xml:space="preserve">Workshop validasi proses dan desain solusi, penyusunan</w:t>
            </w:r>
            <w:r>
              <w:t xml:space="preserve"> </w:t>
            </w:r>
            <w:r>
              <w:rPr>
                <w:i/>
                <w:iCs/>
              </w:rPr>
              <w:t xml:space="preserve">backlog</w:t>
            </w:r>
            <w:r>
              <w:t xml:space="preserve"> </w:t>
            </w:r>
            <w:r>
              <w:t xml:space="preserve">gap</w:t>
            </w:r>
          </w:p>
        </w:tc>
        <w:tc>
          <w:tcPr/>
          <w:p>
            <w:pPr>
              <w:pStyle w:val="Compact"/>
            </w:pPr>
            <w:r>
              <w:t xml:space="preserve">2–3 bulan</w:t>
            </w:r>
          </w:p>
        </w:tc>
        <w:tc>
          <w:tcPr/>
          <w:p>
            <w:pPr>
              <w:pStyle w:val="Compact"/>
            </w:pPr>
            <w:r>
              <w:t xml:space="preserve">SAP (2024)</w:t>
            </w:r>
          </w:p>
        </w:tc>
      </w:tr>
      <w:tr>
        <w:tc>
          <w:tcPr/>
          <w:p>
            <w:pPr>
              <w:pStyle w:val="Compact"/>
            </w:pPr>
            <w:r>
              <w:t xml:space="preserve">Realize</w:t>
            </w:r>
          </w:p>
        </w:tc>
        <w:tc>
          <w:tcPr/>
          <w:p>
            <w:pPr>
              <w:pStyle w:val="Compact"/>
            </w:pPr>
            <w:r>
              <w:t xml:space="preserve">Konversi dan konfigurasi, migrasi data percobaan, siklus pengujian hingga UAT (</w:t>
            </w:r>
            <w:r>
              <w:rPr>
                <w:i/>
                <w:iCs/>
              </w:rPr>
              <w:t xml:space="preserve">user acceptance testing</w:t>
            </w:r>
            <w:r>
              <w:t xml:space="preserve">)</w:t>
            </w:r>
          </w:p>
        </w:tc>
        <w:tc>
          <w:tcPr/>
          <w:p>
            <w:pPr>
              <w:pStyle w:val="Compact"/>
            </w:pPr>
            <w:r>
              <w:t xml:space="preserve">3 bulan</w:t>
            </w:r>
          </w:p>
        </w:tc>
        <w:tc>
          <w:tcPr/>
          <w:p>
            <w:pPr>
              <w:pStyle w:val="Compact"/>
            </w:pPr>
            <w:r>
              <w:t xml:space="preserve">SAP (2024)</w:t>
            </w:r>
          </w:p>
        </w:tc>
      </w:tr>
      <w:tr>
        <w:tc>
          <w:tcPr/>
          <w:p>
            <w:pPr>
              <w:pStyle w:val="Compact"/>
            </w:pPr>
            <w:r>
              <w:t xml:space="preserve">Deploy</w:t>
            </w:r>
          </w:p>
        </w:tc>
        <w:tc>
          <w:tcPr/>
          <w:p>
            <w:pPr>
              <w:pStyle w:val="Compact"/>
            </w:pPr>
            <w:r>
              <w:t xml:space="preserve">Gladi</w:t>
            </w:r>
            <w:r>
              <w:t xml:space="preserve"> </w:t>
            </w:r>
            <w:r>
              <w:rPr>
                <w:i/>
                <w:iCs/>
              </w:rPr>
              <w:t xml:space="preserve">cutover</w:t>
            </w:r>
            <w:r>
              <w:t xml:space="preserve"> </w:t>
            </w:r>
            <w:r>
              <w:t xml:space="preserve">(perpindahan final ke sistem produksi), migrasi data final, go-live</w:t>
            </w:r>
          </w:p>
        </w:tc>
        <w:tc>
          <w:tcPr/>
          <w:p>
            <w:pPr>
              <w:pStyle w:val="Compact"/>
            </w:pPr>
            <w:r>
              <w:t xml:space="preserve">&gt;3 bulan</w:t>
            </w:r>
          </w:p>
        </w:tc>
        <w:tc>
          <w:tcPr/>
          <w:p>
            <w:pPr>
              <w:pStyle w:val="Compact"/>
            </w:pPr>
            <w:r>
              <w:t xml:space="preserve">SAP (2024)</w:t>
            </w:r>
          </w:p>
        </w:tc>
      </w:tr>
      <w:tr>
        <w:tc>
          <w:tcPr/>
          <w:p>
            <w:pPr>
              <w:pStyle w:val="Compact"/>
            </w:pPr>
            <w:r>
              <w:t xml:space="preserve">Run</w:t>
            </w:r>
          </w:p>
        </w:tc>
        <w:tc>
          <w:tcPr/>
          <w:p>
            <w:pPr>
              <w:pStyle w:val="Compact"/>
            </w:pPr>
            <w:r>
              <w:rPr>
                <w:i/>
                <w:iCs/>
              </w:rPr>
              <w:t xml:space="preserve">Hypercare</w:t>
            </w:r>
            <w:r>
              <w:t xml:space="preserve">: stabilisasi dan dukungan intensif pasca go-live</w:t>
            </w:r>
          </w:p>
        </w:tc>
        <w:tc>
          <w:tcPr/>
          <w:p>
            <w:pPr>
              <w:pStyle w:val="Compact"/>
            </w:pPr>
            <w:r>
              <w:t xml:space="preserve">±1–2 bulan</w:t>
            </w:r>
          </w:p>
        </w:tc>
        <w:tc>
          <w:tcPr/>
          <w:p>
            <w:pPr>
              <w:pStyle w:val="Compact"/>
            </w:pPr>
            <w:r>
              <w:t xml:space="preserve">Estimasi praktik</w:t>
            </w:r>
          </w:p>
        </w:tc>
      </w:tr>
    </w:tbl>
    <w:p>
      <w:pPr>
        <w:pStyle w:val="BodyText"/>
      </w:pPr>
      <w:r>
        <w:t xml:space="preserve">Dijumlahkan, lima fase pertama konsisten dengan total resmi SAP untuk jalur brownfield. Baris Run sengaja dibedakan basisnya: SAP tidak menerbitkan angka untuk fase ini, jadi durasi hypercare adalah estimasi praktik implementasi, bukan angka resmi.</w:t>
      </w:r>
    </w:p>
    <w:p>
      <w:pPr>
        <w:pStyle w:val="BodyText"/>
      </w:pPr>
      <w:r>
        <w:t xml:space="preserve">Angka per fase juga bergeser menurut jalur. Pada</w:t>
      </w:r>
      <w:r>
        <w:t xml:space="preserve"> </w:t>
      </w:r>
      <w:r>
        <w:rPr>
          <w:i/>
          <w:iCs/>
        </w:rPr>
        <w:t xml:space="preserve">bluefield</w:t>
      </w:r>
      <w:r>
        <w:t xml:space="preserve"> </w:t>
      </w:r>
      <w:r>
        <w:t xml:space="preserve">(</w:t>
      </w:r>
      <w:r>
        <w:rPr>
          <w:i/>
          <w:iCs/>
        </w:rPr>
        <w:t xml:space="preserve">selective data transition</w:t>
      </w:r>
      <w:r>
        <w:t xml:space="preserve">), SAP mencantumkan Realize melebar ke 6–9 bulan dan menjadi fase terpanjang jalur itu. Dalam praktik, pengungkit terbesar durasi Realize adalah berapa kali siklus migrasi data percobaan harus diulang; datanya sering baru ketahuan kotor saat migrasi percobaan pertama.</w:t>
      </w:r>
    </w:p>
    <w:bookmarkEnd w:id="21"/>
    <w:bookmarkStart w:id="23" w:name="Xadeaefe4fa5a0c3c1556bf6c16afe7be3af24b0"/>
    <w:p>
      <w:pPr>
        <w:pStyle w:val="Heading2"/>
      </w:pPr>
      <w:r>
        <w:t xml:space="preserve">Kapan Paling Lambat Kick-Off agar Selesai Sebelum Deadline ECC 2027?</w:t>
      </w:r>
    </w:p>
    <w:p>
      <w:pPr>
        <w:pStyle w:val="FirstParagraph"/>
      </w:pPr>
      <w:r>
        <w:t xml:space="preserve">Masa</w:t>
      </w:r>
      <w:r>
        <w:t xml:space="preserve"> </w:t>
      </w:r>
      <w:r>
        <w:rPr>
          <w:i/>
          <w:iCs/>
        </w:rPr>
        <w:t xml:space="preserve">mainstream maintenance</w:t>
      </w:r>
      <w:r>
        <w:t xml:space="preserve"> </w:t>
      </w:r>
      <w:r>
        <w:t xml:space="preserve">SAP Business Suite 7, termasuk SAP ECC, berakhir 31 Desember 2027 (</w:t>
      </w:r>
      <w:hyperlink r:id="rId22">
        <w:r>
          <w:rPr>
            <w:rStyle w:val="Hyperlink"/>
          </w:rPr>
          <w:t xml:space="preserve">support.sap.com</w:t>
        </w:r>
      </w:hyperlink>
      <w:r>
        <w:t xml:space="preserve">). Mundur 12–15 bulan durasi konversi brownfield, kick-off paling lambat jatuh antara akhir September dan akhir Desember 2026. Ini hitungan turunan dari angka resmi SAP, bukan tanggal yang ditetapkan SAP.</w:t>
      </w:r>
    </w:p>
    <w:p>
      <w:pPr>
        <w:pStyle w:val="BodyText"/>
      </w:pPr>
      <w:r>
        <w:t xml:space="preserve">Hitungan itu belum memasukkan persiapan praproyek. Evaluasi partner dan negosiasi kontrak dalam praktik memakan 2–3 bulan sebelum kick-off, sehingga keputusan realistis perlu diambil sekitar pertengahan sampai kuartal III 2026. Jalur greenfield lebih ketat lagi: batas skenario 21 bulannya sudah lewat sejak akhir Maret 2026, dan skenario tercepatnya menuntut kick-off paling lambat akhir September 2026.</w:t>
      </w:r>
    </w:p>
    <w:p>
      <w:pPr>
        <w:pStyle w:val="BodyText"/>
      </w:pPr>
      <w:r>
        <w:t xml:space="preserve">Empat faktor yang paling sering memperpanjang timeline: volume custom code, kualitas data master, jumlah</w:t>
      </w:r>
      <w:r>
        <w:t xml:space="preserve"> </w:t>
      </w:r>
      <w:r>
        <w:rPr>
          <w:i/>
          <w:iCs/>
        </w:rPr>
        <w:t xml:space="preserve">company code</w:t>
      </w:r>
      <w:r>
        <w:t xml:space="preserve"> </w:t>
      </w:r>
      <w:r>
        <w:t xml:space="preserve">yang ikut serta, dan ketersediaan tim internal saat UAT.</w:t>
      </w:r>
    </w:p>
    <w:p>
      <w:pPr>
        <w:pStyle w:val="BodyText"/>
      </w:pPr>
      <w:r>
        <w:t xml:space="preserve">Satu catatan jujur: angka SAP berlabel</w:t>
      </w:r>
      <w:r>
        <w:t xml:space="preserve"> </w:t>
      </w:r>
      <w:r>
        <w:rPr>
          <w:i/>
          <w:iCs/>
        </w:rPr>
        <w:t xml:space="preserve">indicative</w:t>
      </w:r>
      <w:r>
        <w:t xml:space="preserve"> </w:t>
      </w:r>
      <w:r>
        <w:t xml:space="preserve">dan mengasumsikan kondisi mendekati ideal. Go-live mundur paling sering terjadi karena siklus pengujian dikompres demi mengejar tanggal. Menunda kick-off juga berarti bersaing memperebutkan kapasitas konsultan yang menyempit menjelang tenggat; sisakan buffer agar go-live tidak jatuh bertepatan dengan tutup buku akhir tahun.</w:t>
      </w:r>
    </w:p>
    <w:bookmarkEnd w:id="23"/>
    <w:bookmarkStart w:id="27" w:name="faq-pertanyaan-yang-sering-diajukan"/>
    <w:p>
      <w:pPr>
        <w:pStyle w:val="Heading2"/>
      </w:pPr>
      <w:r>
        <w:t xml:space="preserve">FAQ (Pertanyaan yang Sering Diajukan)</w:t>
      </w:r>
    </w:p>
    <w:bookmarkStart w:id="24" w:name="berapa-lama-migrasi-rise-with-sap"/>
    <w:p>
      <w:pPr>
        <w:pStyle w:val="Heading3"/>
      </w:pPr>
      <w:r>
        <w:t xml:space="preserve">Berapa lama migrasi RISE with SAP?</w:t>
      </w:r>
    </w:p>
    <w:p>
      <w:pPr>
        <w:pStyle w:val="FirstParagraph"/>
      </w:pPr>
      <w:r>
        <w:t xml:space="preserve">Menurut SAP S/4HANA Transformation Pocket Guide (SAP, 2024), durasi end-to-end indikatif adalah 12–15 bulan untuk konversi brownfield, 12–18 bulan untuk bluefield, dan 15–21 bulan untuk greenfield satu gelombang. Contoh publik di Indonesia menunjukkan proyek dapat go-live dalam sekitar enam bulan.</w:t>
      </w:r>
    </w:p>
    <w:bookmarkEnd w:id="24"/>
    <w:bookmarkStart w:id="25" w:name="X89c5cdde794e3370a0be6dd6434f30c8a65404a"/>
    <w:p>
      <w:pPr>
        <w:pStyle w:val="Heading3"/>
      </w:pPr>
      <w:r>
        <w:t xml:space="preserve">Fase apa yang paling lama dalam migrasi SAP ke cloud?</w:t>
      </w:r>
    </w:p>
    <w:p>
      <w:pPr>
        <w:pStyle w:val="FirstParagraph"/>
      </w:pPr>
      <w:r>
        <w:t xml:space="preserve">Tergantung jalurnya. Tabel indikatif SAP menempatkan Realize sebagai fase terpanjang pada bluefield (6–9 bulan); pada brownfield, justru Deploy dicantumkan lebih dari 3 bulan. Dalam praktik, siklus pengujian dan migrasi data percobaan di Realize paling sering membuat jadwal mundur karena kualitas data baru teruji di sana.</w:t>
      </w:r>
    </w:p>
    <w:bookmarkEnd w:id="25"/>
    <w:bookmarkStart w:id="26" w:name="X330cda6f7f49f19d5b4695dbdcc9c9f2ab4023f"/>
    <w:p>
      <w:pPr>
        <w:pStyle w:val="Heading3"/>
      </w:pPr>
      <w:r>
        <w:t xml:space="preserve">Kapan paling lambat kick-off agar selesai sebelum deadline ECC 2027?</w:t>
      </w:r>
    </w:p>
    <w:p>
      <w:pPr>
        <w:pStyle w:val="FirstParagraph"/>
      </w:pPr>
      <w:r>
        <w:t xml:space="preserve">Mundur dari 31 Desember 2027, konversi brownfield 12–15 bulan menuntut kick-off paling lambat sekitar akhir September hingga Desember 2026, belum termasuk pemilihan partner dan kontrak yang dalam praktik memakan 2–3 bulan. Jalur greenfield 15–21 bulan menuntut mulai lebih awal lagi.</w:t>
      </w:r>
    </w:p>
    <w:bookmarkEnd w:id="26"/>
    <w:bookmarkEnd w:id="27"/>
    <w:bookmarkStart w:id="28" w:name="kesimpulan"/>
    <w:p>
      <w:pPr>
        <w:pStyle w:val="Heading2"/>
      </w:pPr>
      <w:r>
        <w:t xml:space="preserve">Kesimpulan</w:t>
      </w:r>
    </w:p>
    <w:p>
      <w:pPr>
        <w:pStyle w:val="FirstParagraph"/>
      </w:pPr>
      <w:r>
        <w:t xml:space="preserve">Timeline migrasi bukan angka tunggal; ia fungsi dari jalur, lingkup, dan kualitas data. Amplopnya jelas (12–21 bulan menurut jalurnya), tenggatnya tidak bergeser, dan yang menentukan bukan kecepatan, melainkan mulai cukup awal agar pengujian tidak terkompres. Sebagai SAP Platinum Partner yang diakui Best RISE dan Best Cloud Partner (SEA) 2021, Soltius mendampingi perusahaan menyusun timeline migrasi yang realistis dan menjalankannya fase demi fase, dari assessment hingga go-live dan hypercare.</w:t>
      </w:r>
    </w:p>
    <w:p>
      <w:pPr>
        <w:pStyle w:val="BodyText"/>
      </w:pPr>
      <w:r>
        <w:t xml:space="preserve">Untuk mendiskusikan rencana migrasi RISE with SAP dan SAP S/4HANA Cloud Private Edition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community.sap.com/t5/enterprise-resource-planning-blog-posts-by-sap/sap-s-4hana-transformation-pocket-guide/ba-p/13791072" TargetMode="External" /><Relationship Type="http://schemas.openxmlformats.org/officeDocument/2006/relationships/hyperlink" Id="rId22" Target="https://support.sap.com/en/release-upgrade-maintenance/maintenance-information/maintenance-strategy/s4hana-business-suite7.html" TargetMode="External" /><Relationship Type="http://schemas.openxmlformats.org/officeDocument/2006/relationships/hyperlink" Id="rId18" Target="https://www.soltius.co.id/id/blog/Apa-Saja-yang-Termasuk-dalam-Rise-with-SAP"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community.sap.com/t5/enterprise-resource-planning-blog-posts-by-sap/sap-s-4hana-transformation-pocket-guide/ba-p/13791072" TargetMode="External" /><Relationship Type="http://schemas.openxmlformats.org/officeDocument/2006/relationships/hyperlink" Id="rId22" Target="https://support.sap.com/en/release-upgrade-maintenance/maintenance-information/maintenance-strategy/s4hana-business-suite7.html" TargetMode="External" /><Relationship Type="http://schemas.openxmlformats.org/officeDocument/2006/relationships/hyperlink" Id="rId18" Target="https://www.soltius.co.id/id/blog/Apa-Saja-yang-Termasuk-dalam-Rise-with-SAP"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2026-07-07T01:29:12Z</dcterms:created>
  <dcterms:modified xsi:type="dcterms:W3CDTF">2026-07-07T01:29:12Z</dcterms:modified>
</cp:coreProperties>
</file>

<file path=docProps/custom.xml><?xml version="1.0" encoding="utf-8"?>
<Properties xmlns="http://schemas.openxmlformats.org/officeDocument/2006/custom-properties" xmlns:vt="http://schemas.openxmlformats.org/officeDocument/2006/docPropsVTypes"/>
</file>