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Cloud Computing dan Jenis Layanannya untuk Bisnis"</w:t>
      </w:r>
      <w:r>
        <w:br/>
      </w:r>
      <w:r>
        <w:rPr>
          <w:rStyle w:val="FunctionTok"/>
        </w:rPr>
        <w:t xml:space="preserve">meta_title</w:t>
      </w:r>
      <w:r>
        <w:rPr>
          <w:rStyle w:val="KeywordTok"/>
        </w:rPr>
        <w:t xml:space="preserve">:</w:t>
      </w:r>
      <w:r>
        <w:rPr>
          <w:rStyle w:val="AttributeTok"/>
        </w:rPr>
        <w:t xml:space="preserve"> </w:t>
      </w:r>
      <w:r>
        <w:rPr>
          <w:rStyle w:val="StringTok"/>
        </w:rPr>
        <w:t xml:space="preserve">"Cloud Computing: Pengertian dan Jenis Layanannya"</w:t>
      </w:r>
      <w:r>
        <w:br/>
      </w:r>
      <w:r>
        <w:rPr>
          <w:rStyle w:val="FunctionTok"/>
        </w:rPr>
        <w:t xml:space="preserve">meta_description</w:t>
      </w:r>
      <w:r>
        <w:rPr>
          <w:rStyle w:val="KeywordTok"/>
        </w:rPr>
        <w:t xml:space="preserve">:</w:t>
      </w:r>
      <w:r>
        <w:rPr>
          <w:rStyle w:val="AttributeTok"/>
        </w:rPr>
        <w:t xml:space="preserve"> </w:t>
      </w:r>
      <w:r>
        <w:rPr>
          <w:rStyle w:val="StringTok"/>
        </w:rPr>
        <w:t xml:space="preserve">"Cloud computing diuji lewat 5 karakteristik esensial NIST. Pahami beda jenis layanan SaaS, PaaS, IaaS dan model deployment public, private, serta hybrid cloud."</w:t>
      </w:r>
      <w:r>
        <w:br/>
      </w:r>
      <w:r>
        <w:rPr>
          <w:rStyle w:val="FunctionTok"/>
        </w:rPr>
        <w:t xml:space="preserve">slug</w:t>
      </w:r>
      <w:r>
        <w:rPr>
          <w:rStyle w:val="KeywordTok"/>
        </w:rPr>
        <w:t xml:space="preserve">:</w:t>
      </w:r>
      <w:r>
        <w:rPr>
          <w:rStyle w:val="AttributeTok"/>
        </w:rPr>
        <w:t xml:space="preserve"> </w:t>
      </w:r>
      <w:r>
        <w:rPr>
          <w:rStyle w:val="StringTok"/>
        </w:rPr>
        <w:t xml:space="preserve">"cloud-computing-pengertian-jenis-layanan"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"cloud computing"</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"jenis layanan cloud"</w:t>
      </w:r>
      <w:r>
        <w:rPr>
          <w:rStyle w:val="KeywordTok"/>
        </w:rPr>
        <w:t xml:space="preserve">,</w:t>
      </w:r>
      <w:r>
        <w:rPr>
          <w:rStyle w:val="AttributeTok"/>
        </w:rPr>
        <w:t xml:space="preserve"> </w:t>
      </w:r>
      <w:r>
        <w:rPr>
          <w:rStyle w:val="StringTok"/>
        </w:rPr>
        <w:t xml:space="preserve">"komputasi awan"</w:t>
      </w:r>
      <w:r>
        <w:rPr>
          <w:rStyle w:val="KeywordTok"/>
        </w:rPr>
        <w:t xml:space="preserve">,</w:t>
      </w:r>
      <w:r>
        <w:rPr>
          <w:rStyle w:val="AttributeTok"/>
        </w:rPr>
        <w:t xml:space="preserve"> </w:t>
      </w:r>
      <w:r>
        <w:rPr>
          <w:rStyle w:val="StringTok"/>
        </w:rPr>
        <w:t xml:space="preserve">"karakteristik cloud computing"</w:t>
      </w:r>
      <w:r>
        <w:rPr>
          <w:rStyle w:val="KeywordTok"/>
        </w:rPr>
        <w:t xml:space="preserve">,</w:t>
      </w:r>
      <w:r>
        <w:rPr>
          <w:rStyle w:val="AttributeTok"/>
        </w:rPr>
        <w:t xml:space="preserve"> </w:t>
      </w:r>
      <w:r>
        <w:rPr>
          <w:rStyle w:val="StringTok"/>
        </w:rPr>
        <w:t xml:space="preserve">"model deployment cloud"</w:t>
      </w:r>
      <w:r>
        <w:rPr>
          <w:rStyle w:val="KeywordTok"/>
        </w:rPr>
        <w:t xml:space="preserve">,</w:t>
      </w:r>
      <w:r>
        <w:rPr>
          <w:rStyle w:val="AttributeTok"/>
        </w:rPr>
        <w:t xml:space="preserve"> </w:t>
      </w:r>
      <w:r>
        <w:rPr>
          <w:rStyle w:val="StringTok"/>
        </w:rPr>
        <w:t xml:space="preserve">"public cloud"</w:t>
      </w:r>
      <w:r>
        <w:rPr>
          <w:rStyle w:val="KeywordTok"/>
        </w:rPr>
        <w:t xml:space="preserve">,</w:t>
      </w:r>
      <w:r>
        <w:rPr>
          <w:rStyle w:val="AttributeTok"/>
        </w:rPr>
        <w:t xml:space="preserve"> </w:t>
      </w:r>
      <w:r>
        <w:rPr>
          <w:rStyle w:val="StringTok"/>
        </w:rPr>
        <w:t xml:space="preserve">"private cloud"</w:t>
      </w:r>
      <w:r>
        <w:rPr>
          <w:rStyle w:val="KeywordTok"/>
        </w:rPr>
        <w:t xml:space="preserve">,</w:t>
      </w:r>
      <w:r>
        <w:rPr>
          <w:rStyle w:val="AttributeTok"/>
        </w:rPr>
        <w:t xml:space="preserve"> </w:t>
      </w:r>
      <w:r>
        <w:rPr>
          <w:rStyle w:val="StringTok"/>
        </w:rPr>
        <w:t xml:space="preserve">"hybrid cloud"</w:t>
      </w:r>
      <w:r>
        <w:rPr>
          <w:rStyle w:val="KeywordTok"/>
        </w:rPr>
        <w:t xml:space="preserve">,</w:t>
      </w:r>
      <w:r>
        <w:rPr>
          <w:rStyle w:val="AttributeTok"/>
        </w:rPr>
        <w:t xml:space="preserve"> </w:t>
      </w:r>
      <w:r>
        <w:rPr>
          <w:rStyle w:val="StringTok"/>
        </w:rPr>
        <w:t xml:space="preserve">"NIST SP 800-145"</w:t>
      </w:r>
      <w:r>
        <w:rPr>
          <w:rStyle w:val="KeywordTok"/>
        </w:rPr>
        <w:t xml:space="preserve">,</w:t>
      </w:r>
      <w:r>
        <w:rPr>
          <w:rStyle w:val="AttributeTok"/>
        </w:rPr>
        <w:t xml:space="preserve"> </w:t>
      </w:r>
      <w:r>
        <w:rPr>
          <w:rStyle w:val="StringTok"/>
        </w:rPr>
        <w:t xml:space="preserve">"Software as a Service (SaaS)"</w:t>
      </w:r>
      <w:r>
        <w:rPr>
          <w:rStyle w:val="KeywordTok"/>
        </w:rPr>
        <w:t xml:space="preserve">,</w:t>
      </w:r>
      <w:r>
        <w:rPr>
          <w:rStyle w:val="AttributeTok"/>
        </w:rPr>
        <w:t xml:space="preserve"> </w:t>
      </w:r>
      <w:r>
        <w:rPr>
          <w:rStyle w:val="StringTok"/>
        </w:rPr>
        <w:t xml:space="preserve">"Platform as a Service (PaaS)"</w:t>
      </w:r>
      <w:r>
        <w:rPr>
          <w:rStyle w:val="KeywordTok"/>
        </w:rPr>
        <w:t xml:space="preserve">,</w:t>
      </w:r>
      <w:r>
        <w:rPr>
          <w:rStyle w:val="AttributeTok"/>
        </w:rPr>
        <w:t xml:space="preserve"> </w:t>
      </w:r>
      <w:r>
        <w:rPr>
          <w:rStyle w:val="StringTok"/>
        </w:rPr>
        <w:t xml:space="preserve">"Infrastructure as a Service (IaaS)"</w:t>
      </w:r>
      <w:r>
        <w:rPr>
          <w:rStyle w:val="KeywordTok"/>
        </w:rPr>
        <w:t xml:space="preserve">,</w:t>
      </w:r>
      <w:r>
        <w:rPr>
          <w:rStyle w:val="AttributeTok"/>
        </w:rPr>
        <w:t xml:space="preserve"> </w:t>
      </w:r>
      <w:r>
        <w:rPr>
          <w:rStyle w:val="StringTok"/>
        </w:rPr>
        <w:t xml:space="preserve">"SAP S/4HANA Cloud"</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"https://www.soltius.co.id/id/blog/private-cloud-dan-public-cloud-di-berbagai-sektor-industri"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private cloud dan public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"https://nvlpubs.nist.gov/nistpubs/Legacy/SP/nistspecialpublication800-145.pdf"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"NIST SP 800-145 (September 2011): definisi baku cloud computing, 5 karakteristik esensial, 3 model layanan, 4 model deployment, rumusan public/private/hybrid/community"</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"https://my.idc.com/getdoc.jsp?containerId=IDC_P33214"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"IDC Worldwide Software and Public Cloud Services Spending Guide: belanja layanan cloud publik global menembus USD 1 triliun pada 2026, tumbuh sekitar 21%"</w:t>
      </w:r>
      <w:r>
        <w:br/>
      </w:r>
      <w:r>
        <w:rPr>
          <w:rStyle w:val="FunctionTok"/>
        </w:rPr>
        <w:t xml:space="preserve">brief_id</w:t>
      </w:r>
      <w:r>
        <w:rPr>
          <w:rStyle w:val="KeywordTok"/>
        </w:rPr>
        <w:t xml:space="preserve">:</w:t>
      </w:r>
      <w:r>
        <w:rPr>
          <w:rStyle w:val="AttributeTok"/>
        </w:rPr>
        <w:t xml:space="preserve"> </w:t>
      </w:r>
      <w:r>
        <w:rPr>
          <w:rStyle w:val="StringTok"/>
        </w:rPr>
        <w:t xml:space="preserve">"cloud-computing-c01"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977</w:t>
      </w:r>
    </w:p>
    <w:p>
      <w:r>
        <w:pict>
          <v:rect style="width:0;height:1.5pt" o:hralign="center" o:hrstd="t" o:hr="t"/>
        </w:pict>
      </w:r>
    </w:p>
    <w:bookmarkEnd w:id="16"/>
    <w:bookmarkStart w:id="29" w:name="X56c602ea787bd1f6372be5163a685e40e36fe4a"/>
    <w:p>
      <w:pPr>
        <w:pStyle w:val="Heading1"/>
      </w:pPr>
      <w:r>
        <w:t xml:space="preserve">Apa Itu Cloud Computing dan Jenis Layanannya untuk Bisnis</w:t>
      </w:r>
    </w:p>
    <w:p>
      <w:pPr>
        <w:pStyle w:val="FirstParagraph"/>
      </w:pPr>
      <w:r>
        <w:t xml:space="preserve">Vendor menyebut hampir apa pun yang diakses lewat internet sebagai cloud, termasuk sewa server yang kapasitasnya tidak bisa diubah sendiri. Akibatnya rapat anggaran berjalan tanpa pengertian yang sama, dan batasnya baru terasa setelah rencana</w:t>
      </w:r>
      <w:r>
        <w:t xml:space="preserve"> </w:t>
      </w:r>
      <w:hyperlink r:id="rId17">
        <w:r>
          <w:rPr>
            <w:rStyle w:val="Hyperlink"/>
          </w:rPr>
          <w:t xml:space="preserve">migrasi ERP ke cloud</w:t>
        </w:r>
      </w:hyperlink>
      <w:r>
        <w:t xml:space="preserve"> </w:t>
      </w:r>
      <w:r>
        <w:t xml:space="preserve">tersendat. Artikel ini memakai standar baku sebagai alat uji: apa yang sah disebut cloud computing, dan bagaimana jenis layanannya dipetakan.</w:t>
      </w:r>
    </w:p>
    <w:p>
      <w:pPr>
        <w:pStyle w:val="BlockText"/>
      </w:pPr>
      <w:r>
        <w:rPr>
          <w:b/>
          <w:bCs/>
        </w:rPr>
        <w:t xml:space="preserve">Ringkasnya:</w:t>
      </w:r>
      <w:r>
        <w:t xml:space="preserve"> </w:t>
      </w:r>
      <w:r>
        <w:t xml:space="preserve">Cloud computing (komputasi awan) adalah model penyediaan sumber daya komputasi bersama, mencakup server, penyimpanan, jaringan, dan aplikasi, yang tersedia sesuai permintaan, bisa ditambah atau dikurangi dengan cepat, dan ditagih sesuai pemakaian. Standar NIST SP 800-145 merumuskannya lewat lima karakteristik esensial, tiga model layanan, dan empat model deployment.</w:t>
      </w:r>
    </w:p>
    <w:bookmarkStart w:id="19" w:name="Xc677861d4afd38baa3d3e2e610ec062fee002ad"/>
    <w:p>
      <w:pPr>
        <w:pStyle w:val="Heading2"/>
      </w:pPr>
      <w:r>
        <w:t xml:space="preserve">Apa yang Membuat Sebuah Layanan Disebut Cloud?</w:t>
      </w:r>
    </w:p>
    <w:p>
      <w:pPr>
        <w:pStyle w:val="FirstParagraph"/>
      </w:pPr>
      <w:r>
        <w:t xml:space="preserve">Tidak semua yang diakses lewat internet layak disebut cloud. National Institute of Standards and Technology (NIST) menetapkan lima karakteristik esensial yang harus terpenuhi sekaligus, dan kelimanya berfungsi sebagai alat uji cepat terhadap tawaran vendor. Dokumennya memosisikan diri sebagai alat pembanding, bukan sertifikasi kepatuhan.</w:t>
      </w:r>
    </w:p>
    <w:p>
      <w:pPr>
        <w:pStyle w:val="BodyText"/>
      </w:pPr>
      <w:r>
        <w:t xml:space="preserve">Rumusan itu terbit lewat</w:t>
      </w:r>
      <w:r>
        <w:t xml:space="preserve"> </w:t>
      </w:r>
      <w:hyperlink r:id="rId18">
        <w:r>
          <w:rPr>
            <w:rStyle w:val="Hyperlink"/>
          </w:rPr>
          <w:t xml:space="preserve">SP 800-145</w:t>
        </w:r>
      </w:hyperlink>
      <w:r>
        <w:t xml:space="preserve"> </w:t>
      </w:r>
      <w:r>
        <w:t xml:space="preserve">pada September 2011.</w:t>
      </w:r>
    </w:p>
    <w:p>
      <w:pPr>
        <w:pStyle w:val="Compact"/>
        <w:numPr>
          <w:ilvl w:val="0"/>
          <w:numId w:val="1001"/>
        </w:numPr>
      </w:pPr>
      <w:r>
        <w:rPr>
          <w:b/>
          <w:bCs/>
        </w:rPr>
        <w:t xml:space="preserve">On-demand self-service</w:t>
      </w:r>
      <w:r>
        <w:t xml:space="preserve">: konsumen menyediakan kapasitas komputasi sendiri, secara sepihak dan otomatis, tanpa interaksi manusia dengan penyedia.</w:t>
      </w:r>
    </w:p>
    <w:p>
      <w:pPr>
        <w:pStyle w:val="Compact"/>
        <w:numPr>
          <w:ilvl w:val="0"/>
          <w:numId w:val="1001"/>
        </w:numPr>
      </w:pPr>
      <w:r>
        <w:rPr>
          <w:b/>
          <w:bCs/>
        </w:rPr>
        <w:t xml:space="preserve">Broad network access</w:t>
      </w:r>
      <w:r>
        <w:t xml:space="preserve">: kapabilitas tersedia lewat jaringan dengan mekanisme standar, dari ponsel sampai</w:t>
      </w:r>
      <w:r>
        <w:t xml:space="preserve"> </w:t>
      </w:r>
      <w:r>
        <w:rPr>
          <w:i/>
          <w:iCs/>
        </w:rPr>
        <w:t xml:space="preserve">workstation</w:t>
      </w:r>
      <w:r>
        <w:t xml:space="preserve">.</w:t>
      </w:r>
    </w:p>
    <w:p>
      <w:pPr>
        <w:pStyle w:val="Compact"/>
        <w:numPr>
          <w:ilvl w:val="0"/>
          <w:numId w:val="1001"/>
        </w:numPr>
      </w:pPr>
      <w:r>
        <w:rPr>
          <w:b/>
          <w:bCs/>
        </w:rPr>
        <w:t xml:space="preserve">Resource pooling</w:t>
      </w:r>
      <w:r>
        <w:t xml:space="preserve">: sumber daya dikumpulkan untuk melayani banyak konsumen secara</w:t>
      </w:r>
      <w:r>
        <w:t xml:space="preserve"> </w:t>
      </w:r>
      <w:r>
        <w:rPr>
          <w:i/>
          <w:iCs/>
        </w:rPr>
        <w:t xml:space="preserve">multi-tenant</w:t>
      </w:r>
      <w:r>
        <w:t xml:space="preserve">, dialokasikan ulang secara dinamis sesuai permintaan.</w:t>
      </w:r>
    </w:p>
    <w:p>
      <w:pPr>
        <w:pStyle w:val="Compact"/>
        <w:numPr>
          <w:ilvl w:val="0"/>
          <w:numId w:val="1001"/>
        </w:numPr>
      </w:pPr>
      <w:r>
        <w:rPr>
          <w:b/>
          <w:bCs/>
        </w:rPr>
        <w:t xml:space="preserve">Rapid elasticity</w:t>
      </w:r>
      <w:r>
        <w:t xml:space="preserve">: kapasitas ditambah dan dilepas dengan cepat, kadang otomatis, dan bagi konsumen sering tampak tak terbatas.</w:t>
      </w:r>
    </w:p>
    <w:p>
      <w:pPr>
        <w:pStyle w:val="Compact"/>
        <w:numPr>
          <w:ilvl w:val="0"/>
          <w:numId w:val="1001"/>
        </w:numPr>
      </w:pPr>
      <w:r>
        <w:rPr>
          <w:b/>
          <w:bCs/>
        </w:rPr>
        <w:t xml:space="preserve">Measured service</w:t>
      </w:r>
      <w:r>
        <w:t xml:space="preserve">: pemakaian terukur lewat kapabilitas</w:t>
      </w:r>
      <w:r>
        <w:t xml:space="preserve"> </w:t>
      </w:r>
      <w:r>
        <w:rPr>
          <w:i/>
          <w:iCs/>
        </w:rPr>
        <w:t xml:space="preserve">metering</w:t>
      </w:r>
      <w:r>
        <w:t xml:space="preserve">, lalu dipantau dan dilaporkan secara transparan bagi kedua pihak.</w:t>
      </w:r>
    </w:p>
    <w:p>
      <w:pPr>
        <w:pStyle w:val="FirstParagraph"/>
      </w:pPr>
      <w:r>
        <w:t xml:space="preserve">Uji ini berkonsekuensi praktis. Sewa server virtual yang kapasitasnya hanya bisa diubah lewat tiket gagal di</w:t>
      </w:r>
      <w:r>
        <w:t xml:space="preserve"> </w:t>
      </w:r>
      <w:r>
        <w:rPr>
          <w:i/>
          <w:iCs/>
        </w:rPr>
        <w:t xml:space="preserve">on-demand self-service</w:t>
      </w:r>
      <w:r>
        <w:t xml:space="preserve">; tagihan flat bulanan tanpa laporan pemakaian gagal di</w:t>
      </w:r>
      <w:r>
        <w:t xml:space="preserve"> </w:t>
      </w:r>
      <w:r>
        <w:rPr>
          <w:i/>
          <w:iCs/>
        </w:rPr>
        <w:t xml:space="preserve">measured service</w:t>
      </w:r>
      <w:r>
        <w:t xml:space="preserve">. Karena kelimanya harus hadir bersama, layanan itu tidak memenuhi definisi cloud NIST.</w:t>
      </w:r>
    </w:p>
    <w:p>
      <w:pPr>
        <w:pStyle w:val="BodyText"/>
      </w:pPr>
      <w:r>
        <w:t xml:space="preserve">Itu hosting.</w:t>
      </w:r>
    </w:p>
    <w:bookmarkEnd w:id="19"/>
    <w:bookmarkStart w:id="21" w:name="X6e7a7303c3ea57162063d7e6fae2ff745d42ffa"/>
    <w:p>
      <w:pPr>
        <w:pStyle w:val="Heading2"/>
      </w:pPr>
      <w:r>
        <w:t xml:space="preserve">Jenis Layanan Cloud dan Model Deployment: Dua Sumbu yang Sering Tertukar</w:t>
      </w:r>
    </w:p>
    <w:p>
      <w:pPr>
        <w:pStyle w:val="FirstParagraph"/>
      </w:pPr>
      <w:r>
        <w:t xml:space="preserve">Cloud dipetakan pada dua sumbu berbeda: apa yang Anda konsumsi, dan untuk siapa serta di mana infrastrukturnya berjalan. Banyak artikel mencampur keduanya jadi satu daftar. NIST memisahkannya sejak awal, lewat tiga model layanan dan empat model deployment, karena keduanya menjawab pertanyaan yang berlainan.</w:t>
      </w:r>
    </w:p>
    <w:p>
      <w:pPr>
        <w:pStyle w:val="BodyText"/>
      </w:pPr>
      <w:r>
        <w:t xml:space="preserve">Sumbu pertama adalah jenis layanan cloud. Software as a Service (SaaS) menyediakan aplikasi siap pakai; Platform as a Service (PaaS) menyediakan platform untuk membangun dan menjalankan aplikasi; Infrastructure as a Service (IaaS) menyediakan infrastruktur dasar: server virtual, penyimpanan, jaringan. Perbandingan ketiganya, termasuk batas tanggung jawab pengelolaannya, layak dibahas terpisah.</w:t>
      </w:r>
    </w:p>
    <w:p>
      <w:pPr>
        <w:pStyle w:val="BodyText"/>
      </w:pPr>
      <w:r>
        <w:t xml:space="preserve">Sumbu kedua, model deployment, menjawab di mana dan untuk siapa infrastruktur itu berjalan. Perbandingan praktisnya: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Public cloud</w:t>
            </w:r>
          </w:p>
        </w:tc>
        <w:tc>
          <w:tcPr/>
          <w:p>
            <w:pPr>
              <w:pStyle w:val="Compact"/>
            </w:pPr>
            <w:r>
              <w:t xml:space="preserve">Private cloud</w:t>
            </w:r>
          </w:p>
        </w:tc>
        <w:tc>
          <w:tcPr/>
          <w:p>
            <w:pPr>
              <w:pStyle w:val="Compact"/>
            </w:pPr>
            <w:r>
              <w:t xml:space="preserve">Hybrid cloud</w:t>
            </w:r>
          </w:p>
        </w:tc>
      </w:tr>
      <w:tr>
        <w:tc>
          <w:tcPr/>
          <w:p>
            <w:pPr>
              <w:pStyle w:val="Compact"/>
            </w:pPr>
            <w:r>
              <w:t xml:space="preserve">Diperuntukkan bagi</w:t>
            </w:r>
            <w:r>
              <w:t xml:space="preserve"> </w:t>
            </w:r>
            <w:r>
              <w:rPr>
                <w:i/>
                <w:iCs/>
              </w:rPr>
              <w:t xml:space="preserve">(NIST)</w:t>
            </w:r>
          </w:p>
        </w:tc>
        <w:tc>
          <w:tcPr/>
          <w:p>
            <w:pPr>
              <w:pStyle w:val="Compact"/>
            </w:pPr>
            <w:r>
              <w:t xml:space="preserve">Publik umum; sumber daya dibagi multi-tenant</w:t>
            </w:r>
          </w:p>
        </w:tc>
        <w:tc>
          <w:tcPr/>
          <w:p>
            <w:pPr>
              <w:pStyle w:val="Compact"/>
            </w:pPr>
            <w:r>
              <w:t xml:space="preserve">Satu organisasi (banyak unit bisnis)</w:t>
            </w:r>
          </w:p>
        </w:tc>
        <w:tc>
          <w:tcPr/>
          <w:p>
            <w:pPr>
              <w:pStyle w:val="Compact"/>
            </w:pPr>
            <w:r>
              <w:t xml:space="preserve">Dua infrastruktur terpisah, terikat agar data dan aplikasi bisa berpindah</w:t>
            </w:r>
          </w:p>
        </w:tc>
      </w:tr>
      <w:tr>
        <w:tc>
          <w:tcPr/>
          <w:p>
            <w:pPr>
              <w:pStyle w:val="Compact"/>
            </w:pPr>
            <w:r>
              <w:t xml:space="preserve">Lokasi infrastruktur</w:t>
            </w:r>
            <w:r>
              <w:t xml:space="preserve"> </w:t>
            </w:r>
            <w:r>
              <w:rPr>
                <w:i/>
                <w:iCs/>
              </w:rPr>
              <w:t xml:space="preserve">(NIST)</w:t>
            </w:r>
          </w:p>
        </w:tc>
        <w:tc>
          <w:tcPr/>
          <w:p>
            <w:pPr>
              <w:pStyle w:val="Compact"/>
            </w:pPr>
            <w:r>
              <w:t xml:space="preserve">Di premis penyedia cloud</w:t>
            </w:r>
          </w:p>
        </w:tc>
        <w:tc>
          <w:tcPr/>
          <w:p>
            <w:pPr>
              <w:pStyle w:val="Compact"/>
            </w:pPr>
            <w:r>
              <w:t xml:space="preserve">Bisa on-premise maupun off-premise</w:t>
            </w:r>
          </w:p>
        </w:tc>
        <w:tc>
          <w:tcPr/>
          <w:p>
            <w:pPr>
              <w:pStyle w:val="Compact"/>
            </w:pPr>
            <w:r>
              <w:t xml:space="preserve">Tersebar di dua lingkungan atau lebih</w:t>
            </w:r>
          </w:p>
        </w:tc>
      </w:tr>
      <w:tr>
        <w:tc>
          <w:tcPr/>
          <w:p>
            <w:pPr>
              <w:pStyle w:val="Compact"/>
            </w:pPr>
            <w:r>
              <w:t xml:space="preserve">Dimiliki &amp; dikelola</w:t>
            </w:r>
            <w:r>
              <w:t xml:space="preserve"> </w:t>
            </w:r>
            <w:r>
              <w:rPr>
                <w:i/>
                <w:iCs/>
              </w:rPr>
              <w:t xml:space="preserve">(NIST)</w:t>
            </w:r>
          </w:p>
        </w:tc>
        <w:tc>
          <w:tcPr/>
          <w:p>
            <w:pPr>
              <w:pStyle w:val="Compact"/>
            </w:pPr>
            <w:r>
              <w:t xml:space="preserve">Organisasi bisnis, akademik, atau pemerintah</w:t>
            </w:r>
          </w:p>
        </w:tc>
        <w:tc>
          <w:tcPr/>
          <w:p>
            <w:pPr>
              <w:pStyle w:val="Compact"/>
            </w:pPr>
            <w:r>
              <w:t xml:space="preserve">Organisasi sendiri, pihak ketiga, atau kombinasinya</w:t>
            </w:r>
          </w:p>
        </w:tc>
        <w:tc>
          <w:tcPr/>
          <w:p>
            <w:pPr>
              <w:pStyle w:val="Compact"/>
            </w:pPr>
            <w:r>
              <w:t xml:space="preserve">Kombinasi, terikat teknologi standar atau proprietary</w:t>
            </w:r>
          </w:p>
        </w:tc>
      </w:tr>
      <w:tr>
        <w:tc>
          <w:tcPr/>
          <w:p>
            <w:pPr>
              <w:pStyle w:val="Compact"/>
            </w:pPr>
            <w:r>
              <w:t xml:space="preserve">Kontrol &amp; kustomisasi</w:t>
            </w:r>
            <w:r>
              <w:t xml:space="preserve"> </w:t>
            </w:r>
            <w:r>
              <w:rPr>
                <w:i/>
                <w:iCs/>
              </w:rPr>
              <w:t xml:space="preserve">(praktik)</w:t>
            </w:r>
          </w:p>
        </w:tc>
        <w:tc>
          <w:tcPr/>
          <w:p>
            <w:pPr>
              <w:pStyle w:val="Compact"/>
            </w:pPr>
            <w:r>
              <w:t xml:space="preserve">Paling rendah</w:t>
            </w:r>
          </w:p>
        </w:tc>
        <w:tc>
          <w:tcPr/>
          <w:p>
            <w:pPr>
              <w:pStyle w:val="Compact"/>
            </w:pPr>
            <w:r>
              <w:t xml:space="preserve">Paling tinggi</w:t>
            </w:r>
          </w:p>
        </w:tc>
        <w:tc>
          <w:tcPr/>
          <w:p>
            <w:pPr>
              <w:pStyle w:val="Compact"/>
            </w:pPr>
            <w:r>
              <w:t xml:space="preserve">Per beban kerja</w:t>
            </w:r>
          </w:p>
        </w:tc>
      </w:tr>
      <w:tr>
        <w:tc>
          <w:tcPr/>
          <w:p>
            <w:pPr>
              <w:pStyle w:val="Compact"/>
            </w:pPr>
            <w:r>
              <w:t xml:space="preserve">Profil biaya</w:t>
            </w:r>
            <w:r>
              <w:t xml:space="preserve"> </w:t>
            </w:r>
            <w:r>
              <w:rPr>
                <w:i/>
                <w:iCs/>
              </w:rPr>
              <w:t xml:space="preserve">(praktik)</w:t>
            </w:r>
          </w:p>
        </w:tc>
        <w:tc>
          <w:tcPr/>
          <w:p>
            <w:pPr>
              <w:pStyle w:val="Compact"/>
            </w:pPr>
            <w:r>
              <w:t xml:space="preserve">Bayar sesuai pemakaian (OpEx)</w:t>
            </w:r>
          </w:p>
        </w:tc>
        <w:tc>
          <w:tcPr/>
          <w:p>
            <w:pPr>
              <w:pStyle w:val="Compact"/>
            </w:pPr>
            <w:r>
              <w:t xml:space="preserve">Komitmen lebih besar di muka</w:t>
            </w:r>
          </w:p>
        </w:tc>
        <w:tc>
          <w:tcPr/>
          <w:p>
            <w:pPr>
              <w:pStyle w:val="Compact"/>
            </w:pPr>
            <w:r>
              <w:t xml:space="preserve">Campuran</w:t>
            </w:r>
          </w:p>
        </w:tc>
      </w:tr>
      <w:tr>
        <w:tc>
          <w:tcPr/>
          <w:p>
            <w:pPr>
              <w:pStyle w:val="Compact"/>
            </w:pPr>
            <w:r>
              <w:t xml:space="preserve">Paling cocok saat</w:t>
            </w:r>
            <w:r>
              <w:t xml:space="preserve"> </w:t>
            </w:r>
            <w:r>
              <w:rPr>
                <w:i/>
                <w:iCs/>
              </w:rPr>
              <w:t xml:space="preserve">(praktik)</w:t>
            </w:r>
          </w:p>
        </w:tc>
        <w:tc>
          <w:tcPr/>
          <w:p>
            <w:pPr>
              <w:pStyle w:val="Compact"/>
            </w:pPr>
            <w:r>
              <w:t xml:space="preserve">Beban fluktuatif, butuh cepat</w:t>
            </w:r>
          </w:p>
        </w:tc>
        <w:tc>
          <w:tcPr/>
          <w:p>
            <w:pPr>
              <w:pStyle w:val="Compact"/>
            </w:pPr>
            <w:r>
              <w:t xml:space="preserve">Kontrol/kepatuhan ketat, beban stabil</w:t>
            </w:r>
          </w:p>
        </w:tc>
        <w:tc>
          <w:tcPr/>
          <w:p>
            <w:pPr>
              <w:pStyle w:val="Compact"/>
            </w:pPr>
            <w:r>
              <w:t xml:space="preserve">Sebagian data wajib tetap terkendali</w:t>
            </w:r>
          </w:p>
        </w:tc>
      </w:tr>
    </w:tbl>
    <w:p>
      <w:pPr>
        <w:pStyle w:val="BodyText"/>
      </w:pPr>
      <w:r>
        <w:t xml:space="preserve">Baris lokasi mengoreksi miskonsepsi tersering: private cloud tidak identik dengan server di kantor sendiri, sebab NIST membolehkannya berada off-premise dan dioperasikan pihak ketiga.</w:t>
      </w:r>
    </w:p>
    <w:p>
      <w:pPr>
        <w:pStyle w:val="BodyText"/>
      </w:pPr>
      <w:r>
        <w:t xml:space="preserve">NIST juga mencantumkan model keempat, community cloud, untuk organisasi dengan kepentingan sama seperti misi atau kepatuhan; di Indonesia model ini jarang dipakai komersial. Kewajiban pelindungan data pribadi (UU No. 27 Tahun 2022) kerap mendorong beban kerja tertentu ke arah private atau hybrid;</w:t>
      </w:r>
      <w:r>
        <w:t xml:space="preserve"> </w:t>
      </w:r>
      <w:hyperlink r:id="rId20">
        <w:r>
          <w:rPr>
            <w:rStyle w:val="Hyperlink"/>
          </w:rPr>
          <w:t xml:space="preserve">studi kasus private cloud dan public cloud</w:t>
        </w:r>
      </w:hyperlink>
      <w:r>
        <w:t xml:space="preserve"> </w:t>
      </w:r>
      <w:r>
        <w:t xml:space="preserve">per sektor industri memperlihatkan polanya.</w:t>
      </w:r>
    </w:p>
    <w:bookmarkEnd w:id="21"/>
    <w:bookmarkStart w:id="23" w:name="apa-manfaat-cloud-computing-bagi-bisnis"/>
    <w:p>
      <w:pPr>
        <w:pStyle w:val="Heading2"/>
      </w:pPr>
      <w:r>
        <w:t xml:space="preserve">Apa Manfaat Cloud Computing bagi Bisnis?</w:t>
      </w:r>
    </w:p>
    <w:p>
      <w:pPr>
        <w:pStyle w:val="FirstParagraph"/>
      </w:pPr>
      <w:r>
        <w:t xml:space="preserve">Manfaat terbesarnya bukan sekadar hemat, melainkan pergeseran pola belanja dari modal ke operasional, kapasitas yang naik-turun mengikuti permintaan, dan lingkungan baru yang bisa disediakan tanpa menunggu siklus pengadaan perangkat. Semuanya berasal dari</w:t>
      </w:r>
      <w:r>
        <w:t xml:space="preserve"> </w:t>
      </w:r>
      <w:r>
        <w:rPr>
          <w:i/>
          <w:iCs/>
        </w:rPr>
        <w:t xml:space="preserve">rapid elasticity</w:t>
      </w:r>
      <w:r>
        <w:t xml:space="preserve"> </w:t>
      </w:r>
      <w:r>
        <w:t xml:space="preserve">dan</w:t>
      </w:r>
      <w:r>
        <w:t xml:space="preserve"> </w:t>
      </w:r>
      <w:r>
        <w:rPr>
          <w:i/>
          <w:iCs/>
        </w:rPr>
        <w:t xml:space="preserve">measured service</w:t>
      </w:r>
      <w:r>
        <w:t xml:space="preserve">, bukan dari lokasi servernya.</w:t>
      </w:r>
    </w:p>
    <w:p>
      <w:pPr>
        <w:pStyle w:val="BodyText"/>
      </w:pPr>
      <w:r>
        <w:t xml:space="preserve">IDC memproyeksikan belanja layanan cloud publik global menembus</w:t>
      </w:r>
      <w:r>
        <w:t xml:space="preserve"> </w:t>
      </w:r>
      <w:hyperlink r:id="rId22">
        <w:r>
          <w:rPr>
            <w:rStyle w:val="Hyperlink"/>
          </w:rPr>
          <w:t xml:space="preserve">USD 1 triliun pada 2026</w:t>
        </w:r>
      </w:hyperlink>
      <w:r>
        <w:t xml:space="preserve">, tumbuh sekitar 21% setahun.</w:t>
      </w:r>
    </w:p>
    <w:p>
      <w:pPr>
        <w:pStyle w:val="BodyText"/>
      </w:pPr>
      <w:r>
        <w:t xml:space="preserve">Cloud tidak otomatis lebih murah. Beban kerja yang datar dan terprediksi, di perusahaan yang pusat data dan timnya sudah terbayar, bisa berakhir lebih mahal di cloud, sebab penghematan lahir dari elastisitas dan elastisitas yang tidak terpakai tetap ikut dibayar. Karena itu pertanyaannya bukan seberapa besar diskonnya, melainkan seberapa naik-turun beban kerjanya. Ketergantungan penuh pada konektivitas mengikuti sebagai konsekuensi model ini, bukan sebagai cacatnya.</w:t>
      </w:r>
    </w:p>
    <w:bookmarkEnd w:id="23"/>
    <w:bookmarkStart w:id="24" w:name="X95e955a9e23bb2c3ec11b6df6e4dcbf01b56fb8"/>
    <w:p>
      <w:pPr>
        <w:pStyle w:val="Heading2"/>
      </w:pPr>
      <w:r>
        <w:t xml:space="preserve">Apa Artinya Ini untuk Sistem Inti seperti ERP?</w:t>
      </w:r>
    </w:p>
    <w:p>
      <w:pPr>
        <w:pStyle w:val="FirstParagraph"/>
      </w:pPr>
      <w:r>
        <w:t xml:space="preserve">Karakteristik dan model deployment berhenti jadi diskusi teori begitu yang dipindah adalah sistem yang menjalankan keuangan, persediaan, dan produksi. Di lanskap SAP, ERP (</w:t>
      </w:r>
      <w:r>
        <w:rPr>
          <w:i/>
          <w:iCs/>
        </w:rPr>
        <w:t xml:space="preserve">Enterprise Resource Planning</w:t>
      </w:r>
      <w:r>
        <w:t xml:space="preserve">) cloud hadir sebagai SAP S/4HANA Cloud, dan pilihan deployment-nya ikut menentukan ruang kustomisasi, jalur kepatuhan, sampai rencana</w:t>
      </w:r>
      <w:r>
        <w:t xml:space="preserve"> </w:t>
      </w:r>
      <w:r>
        <w:rPr>
          <w:i/>
          <w:iCs/>
        </w:rPr>
        <w:t xml:space="preserve">downtime</w:t>
      </w:r>
      <w:r>
        <w:t xml:space="preserve">.</w:t>
      </w:r>
    </w:p>
    <w:p>
      <w:pPr>
        <w:pStyle w:val="BodyText"/>
      </w:pPr>
      <w:r>
        <w:t xml:space="preserve">RISE with SAP adalah penawaran SAP untuk memindahkan sistem inti ke cloud ERP bagi pelanggan yang memodernisasi sistem on-premise-nya.</w:t>
      </w:r>
    </w:p>
    <w:bookmarkEnd w:id="24"/>
    <w:bookmarkStart w:id="27" w:name="faq-pertanyaan-yang-sering-diajukan"/>
    <w:p>
      <w:pPr>
        <w:pStyle w:val="Heading2"/>
      </w:pPr>
      <w:r>
        <w:t xml:space="preserve">FAQ (Pertanyaan yang Sering Diajukan)</w:t>
      </w:r>
    </w:p>
    <w:bookmarkStart w:id="25" w:name="Xe42c3d7e27959e6d419d44390aab52f1816cd98"/>
    <w:p>
      <w:pPr>
        <w:pStyle w:val="Heading3"/>
      </w:pPr>
      <w:r>
        <w:t xml:space="preserve">Apa bedanya cloud computing dengan hosting atau server biasa?</w:t>
      </w:r>
    </w:p>
    <w:p>
      <w:pPr>
        <w:pStyle w:val="FirstParagraph"/>
      </w:pPr>
      <w:r>
        <w:t xml:space="preserve">Ujilah dengan lima karakteristik esensial NIST SP 800-145. Sewa server yang kapasitasnya hanya bisa diubah lewat tiket dan ditagih flat per bulan gagal di dua di antaranya: on-demand self-service dan measured service. Cloud menuntut penyediaan mandiri tanpa campur tangan penyedia dan pemakaian yang terukur.</w:t>
      </w:r>
    </w:p>
    <w:bookmarkEnd w:id="25"/>
    <w:bookmarkStart w:id="26" w:name="apakah-data-perusahaan-aman-di-cloud"/>
    <w:p>
      <w:pPr>
        <w:pStyle w:val="Heading3"/>
      </w:pPr>
      <w:r>
        <w:t xml:space="preserve">Apakah data perusahaan aman di cloud?</w:t>
      </w:r>
    </w:p>
    <w:p>
      <w:pPr>
        <w:pStyle w:val="FirstParagraph"/>
      </w:pPr>
      <w:r>
        <w:t xml:space="preserve">Keamanan ditentukan oleh pilihan model deployment dan pembagian tanggung jawab, bukan oleh cloud itu sendiri; data dan identitas tetap kewajiban perusahaan. Kendali lokasi data kini jadi kriteria arus utama: Gartner memproyeksikan belanja sovereign cloud IaaS global mencapai USD 80 miliar pada 2026.</w:t>
      </w:r>
    </w:p>
    <w:bookmarkEnd w:id="26"/>
    <w:bookmarkEnd w:id="27"/>
    <w:bookmarkStart w:id="28" w:name="kesimpulan"/>
    <w:p>
      <w:pPr>
        <w:pStyle w:val="Heading2"/>
      </w:pPr>
      <w:r>
        <w:t xml:space="preserve">Kesimpulan</w:t>
      </w:r>
    </w:p>
    <w:p>
      <w:pPr>
        <w:pStyle w:val="FirstParagraph"/>
      </w:pPr>
      <w:r>
        <w:t xml:space="preserve">Cloud computing bukan soal lokasi server, melainkan model penyediaan yang harus lolos lima karakteristik esensial. Pertanyaan yang menentukan pun bukan</w:t>
      </w:r>
      <w:r>
        <w:t xml:space="preserve"> </w:t>
      </w:r>
      <w:r>
        <w:t xml:space="preserve">“cloud atau tidak”</w:t>
      </w:r>
      <w:r>
        <w:t xml:space="preserve">, melainkan model deployment mana untuk beban kerja mana. Sebagai mitra implementasi SAP yang diakui sebagai Best RISE dan Best Cloud Partner (2021), Soltius mendampingi perusahaan memindahkan sistem inti ke cloud lewat layanan Migration.</w:t>
      </w:r>
    </w:p>
    <w:p>
      <w:pPr>
        <w:pStyle w:val="BodyText"/>
      </w:pPr>
      <w:r>
        <w:t xml:space="preserve">Untuk mendiskusikan kesiapan sistem inti Anda menuju cloud, termasuk jalur RISE with SAP,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my.idc.com/getdoc.jsp?containerId=IDC_P33214" TargetMode="External" /><Relationship Type="http://schemas.openxmlformats.org/officeDocument/2006/relationships/hyperlink" Id="rId18" Target="https://nvlpubs.nist.gov/nistpubs/Legacy/SP/nistspecialpublication800-145.pdf" TargetMode="External" /><Relationship Type="http://schemas.openxmlformats.org/officeDocument/2006/relationships/hyperlink" Id="rId17" Target="https://www.soltius.co.id/id/blog/migrasi-erp-ke-cloud" TargetMode="External" /><Relationship Type="http://schemas.openxmlformats.org/officeDocument/2006/relationships/hyperlink" Id="rId20" Target="https://www.soltius.co.id/id/blog/private-cloud-dan-public-cloud-di-berbagai-sektor-industri" TargetMode="External" /></Relationships>
</file>

<file path=word/_rels/footnotes.xml.rels><?xml version="1.0" encoding="UTF-8"?><Relationships xmlns="http://schemas.openxmlformats.org/package/2006/relationships"><Relationship Type="http://schemas.openxmlformats.org/officeDocument/2006/relationships/hyperlink" Id="rId22" Target="https://my.idc.com/getdoc.jsp?containerId=IDC_P33214" TargetMode="External" /><Relationship Type="http://schemas.openxmlformats.org/officeDocument/2006/relationships/hyperlink" Id="rId18" Target="https://nvlpubs.nist.gov/nistpubs/Legacy/SP/nistspecialpublication800-145.pdf" TargetMode="External" /><Relationship Type="http://schemas.openxmlformats.org/officeDocument/2006/relationships/hyperlink" Id="rId17" Target="https://www.soltius.co.id/id/blog/migrasi-erp-ke-cloud" TargetMode="External" /><Relationship Type="http://schemas.openxmlformats.org/officeDocument/2006/relationships/hyperlink" Id="rId20" Target="https://www.soltius.co.id/id/blog/private-cloud-dan-public-cloud-di-berbagai-sektor-industr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2026-07-17T17:24:52Z</dcterms:created>
  <dcterms:modified xsi:type="dcterms:W3CDTF">2026-07-17T17:24:52Z</dcterms:modified>
</cp:coreProperties>
</file>

<file path=docProps/custom.xml><?xml version="1.0" encoding="utf-8"?>
<Properties xmlns="http://schemas.openxmlformats.org/officeDocument/2006/custom-properties" xmlns:vt="http://schemas.openxmlformats.org/officeDocument/2006/docPropsVTypes"/>
</file>