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"Inventory Turnover Ratio: Rumus dan Cara Meningkatkannya"</w:t>
      </w:r>
      <w:r>
        <w:br/>
      </w:r>
      <w:r>
        <w:rPr>
          <w:rStyle w:val="FunctionTok"/>
        </w:rPr>
        <w:t xml:space="preserve">meta_title</w:t>
      </w:r>
      <w:r>
        <w:rPr>
          <w:rStyle w:val="KeywordTok"/>
        </w:rPr>
        <w:t xml:space="preserve">:</w:t>
      </w:r>
      <w:r>
        <w:rPr>
          <w:rStyle w:val="AttributeTok"/>
        </w:rPr>
        <w:t xml:space="preserve"> </w:t>
      </w:r>
      <w:r>
        <w:rPr>
          <w:rStyle w:val="StringTok"/>
        </w:rPr>
        <w:t xml:space="preserve">"Inventory Turnover Ratio: Rumus dan Cara Meningkatkannya"</w:t>
      </w:r>
      <w:r>
        <w:br/>
      </w:r>
      <w:r>
        <w:rPr>
          <w:rStyle w:val="FunctionTok"/>
        </w:rPr>
        <w:t xml:space="preserve">meta_description</w:t>
      </w:r>
      <w:r>
        <w:rPr>
          <w:rStyle w:val="KeywordTok"/>
        </w:rPr>
        <w:t xml:space="preserve">:</w:t>
      </w:r>
      <w:r>
        <w:rPr>
          <w:rStyle w:val="AttributeTok"/>
        </w:rPr>
        <w:t xml:space="preserve"> </w:t>
      </w:r>
      <w:r>
        <w:rPr>
          <w:rStyle w:val="StringTok"/>
        </w:rPr>
        <w:t xml:space="preserve">"Inventory turnover adalah rasio perputaran persediaan. Pelajari rumus inventory turnover berbasis HPP, contoh hitung, cara membaca, dan cara meningkatkannya."</w:t>
      </w:r>
      <w:r>
        <w:br/>
      </w:r>
      <w:r>
        <w:rPr>
          <w:rStyle w:val="FunctionTok"/>
        </w:rPr>
        <w:t xml:space="preserve">slug</w:t>
      </w:r>
      <w:r>
        <w:rPr>
          <w:rStyle w:val="KeywordTok"/>
        </w:rPr>
        <w:t xml:space="preserve">:</w:t>
      </w:r>
      <w:r>
        <w:rPr>
          <w:rStyle w:val="AttributeTok"/>
        </w:rPr>
        <w:t xml:space="preserve"> </w:t>
      </w:r>
      <w:r>
        <w:rPr>
          <w:rStyle w:val="StringTok"/>
        </w:rPr>
        <w:t xml:space="preserve">"inventory-turnover-rumus-cara-meningkatkan"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"inventory turnover"</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"rasio perputaran persediaan"</w:t>
      </w:r>
      <w:r>
        <w:rPr>
          <w:rStyle w:val="KeywordTok"/>
        </w:rPr>
        <w:t xml:space="preserve">,</w:t>
      </w:r>
      <w:r>
        <w:rPr>
          <w:rStyle w:val="AttributeTok"/>
        </w:rPr>
        <w:t xml:space="preserve"> </w:t>
      </w:r>
      <w:r>
        <w:rPr>
          <w:rStyle w:val="StringTok"/>
        </w:rPr>
        <w:t xml:space="preserve">"perputaran persediaan"</w:t>
      </w:r>
      <w:r>
        <w:rPr>
          <w:rStyle w:val="KeywordTok"/>
        </w:rPr>
        <w:t xml:space="preserve">,</w:t>
      </w:r>
      <w:r>
        <w:rPr>
          <w:rStyle w:val="AttributeTok"/>
        </w:rPr>
        <w:t xml:space="preserve"> </w:t>
      </w:r>
      <w:r>
        <w:rPr>
          <w:rStyle w:val="StringTok"/>
        </w:rPr>
        <w:t xml:space="preserve">"rumus inventory turnover"</w:t>
      </w:r>
      <w:r>
        <w:rPr>
          <w:rStyle w:val="KeywordTok"/>
        </w:rPr>
        <w:t xml:space="preserve">,</w:t>
      </w:r>
      <w:r>
        <w:rPr>
          <w:rStyle w:val="AttributeTok"/>
        </w:rPr>
        <w:t xml:space="preserve"> </w:t>
      </w:r>
      <w:r>
        <w:rPr>
          <w:rStyle w:val="StringTok"/>
        </w:rPr>
        <w:t xml:space="preserve">"harga pokok penjualan (HPP)"</w:t>
      </w:r>
      <w:r>
        <w:rPr>
          <w:rStyle w:val="KeywordTok"/>
        </w:rPr>
        <w:t xml:space="preserve">,</w:t>
      </w:r>
      <w:r>
        <w:rPr>
          <w:rStyle w:val="AttributeTok"/>
        </w:rPr>
        <w:t xml:space="preserve"> </w:t>
      </w:r>
      <w:r>
        <w:rPr>
          <w:rStyle w:val="StringTok"/>
        </w:rPr>
        <w:t xml:space="preserve">"persediaan rata-rata"</w:t>
      </w:r>
      <w:r>
        <w:rPr>
          <w:rStyle w:val="KeywordTok"/>
        </w:rPr>
        <w:t xml:space="preserve">,</w:t>
      </w:r>
      <w:r>
        <w:rPr>
          <w:rStyle w:val="AttributeTok"/>
        </w:rPr>
        <w:t xml:space="preserve"> </w:t>
      </w:r>
      <w:r>
        <w:rPr>
          <w:rStyle w:val="StringTok"/>
        </w:rPr>
        <w:t xml:space="preserve">"days sales of inventory (DSI)"</w:t>
      </w:r>
      <w:r>
        <w:rPr>
          <w:rStyle w:val="KeywordTok"/>
        </w:rPr>
        <w:t xml:space="preserve">,</w:t>
      </w:r>
      <w:r>
        <w:rPr>
          <w:rStyle w:val="AttributeTok"/>
        </w:rPr>
        <w:t xml:space="preserve"> </w:t>
      </w:r>
      <w:r>
        <w:rPr>
          <w:rStyle w:val="StringTok"/>
        </w:rPr>
        <w:t xml:space="preserve">"slow moving dan dead stock"</w:t>
      </w:r>
      <w:r>
        <w:rPr>
          <w:rStyle w:val="KeywordTok"/>
        </w:rPr>
        <w:t xml:space="preserve">,</w:t>
      </w:r>
      <w:r>
        <w:rPr>
          <w:rStyle w:val="AttributeTok"/>
        </w:rPr>
        <w:t xml:space="preserve"> </w:t>
      </w:r>
      <w:r>
        <w:rPr>
          <w:rStyle w:val="StringTok"/>
        </w:rPr>
        <w:t xml:space="preserve">"modal kerja"</w:t>
      </w:r>
      <w:r>
        <w:rPr>
          <w:rStyle w:val="KeywordTok"/>
        </w:rPr>
        <w:t xml:space="preserve">,</w:t>
      </w:r>
      <w:r>
        <w:rPr>
          <w:rStyle w:val="AttributeTok"/>
        </w:rPr>
        <w:t xml:space="preserve"> </w:t>
      </w:r>
      <w:r>
        <w:rPr>
          <w:rStyle w:val="StringTok"/>
        </w:rPr>
        <w:t xml:space="preserve">"cash-to-cash cycle time"</w:t>
      </w:r>
      <w:r>
        <w:rPr>
          <w:rStyle w:val="KeywordTok"/>
        </w:rPr>
        <w:t xml:space="preserve">,</w:t>
      </w:r>
      <w:r>
        <w:rPr>
          <w:rStyle w:val="AttributeTok"/>
        </w:rPr>
        <w:t xml:space="preserve"> </w:t>
      </w:r>
      <w:r>
        <w:rPr>
          <w:rStyle w:val="StringTok"/>
        </w:rPr>
        <w:t xml:space="preserve">"SAP Integrated Business Planning (SAP IBP)"</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"https://www.soltius.co.id/id/blog/tentukan-kpi-supply-chain-bisnis-anda"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"KPI supply chain"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"https://www.soltius.co.id/id/blog/macam-macam-laporan-keuangan-dan-pengertiannya"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"laporan keuangan"</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"https://www.ifrs.org/issued-standards/list-of-standards/ias-2-inventories/"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"IAS 2 Inventories (IFRS Foundation): persediaan diukur pada mana yang lebih rendah antara biaya perolehan dan nilai realisasi neto — dasar argumen pembilang harus basis biaya (HPP), bukan penjualan. Padanan Indonesia: PSAK 202 Persediaan (IAI, efektif 1 Januari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"https://www.census.gov/mtis/"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"U.S. Census Bureau, Manufacturing and Trade Inventories and Sales, Mei 2026 (rilis CB26-114, 16 Juli 2026): rasio persediaan/penjualan total bisnis 1,28 (Mei 2026) vs 1,39 (Mei 2025); manufaktur 1,47, ritel 1,25, pedagang grosir 1,15"</w:t>
      </w:r>
      <w:r>
        <w:br/>
      </w:r>
      <w:r>
        <w:rPr>
          <w:rStyle w:val="FunctionTok"/>
        </w:rPr>
        <w:t xml:space="preserve">brief_id</w:t>
      </w:r>
      <w:r>
        <w:rPr>
          <w:rStyle w:val="KeywordTok"/>
        </w:rPr>
        <w:t xml:space="preserve">:</w:t>
      </w:r>
      <w:r>
        <w:rPr>
          <w:rStyle w:val="AttributeTok"/>
        </w:rPr>
        <w:t xml:space="preserve"> </w:t>
      </w:r>
      <w:r>
        <w:rPr>
          <w:rStyle w:val="StringTok"/>
        </w:rPr>
        <w:t xml:space="preserve">"inventory-turnover-c01"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979</w:t>
      </w:r>
    </w:p>
    <w:p>
      <w:r>
        <w:pict>
          <v:rect style="width:0;height:1.5pt" o:hralign="center" o:hrstd="t" o:hr="t"/>
        </w:pict>
      </w:r>
    </w:p>
    <w:bookmarkEnd w:id="16"/>
    <w:bookmarkStart w:id="29" w:name="X6c9f7c4fea51569ccec23ca8f46cd80c13fb20e"/>
    <w:p>
      <w:pPr>
        <w:pStyle w:val="Heading1"/>
      </w:pPr>
      <w:r>
        <w:t xml:space="preserve">Inventory Turnover Ratio: Rumus dan Cara Meningkatkannya</w:t>
      </w:r>
    </w:p>
    <w:p>
      <w:pPr>
        <w:pStyle w:val="FirstParagraph"/>
      </w:pPr>
      <w:r>
        <w:t xml:space="preserve">Manajer gudang melaporkan stok aman. Finance melihat angka yang sama dan menghitung kas yang mengendap di rak. Inventory turnover menengahi perdebatan itu, dan wajar bila ia masuk daftar</w:t>
      </w:r>
      <w:r>
        <w:t xml:space="preserve"> </w:t>
      </w:r>
      <w:hyperlink r:id="rId17">
        <w:r>
          <w:rPr>
            <w:rStyle w:val="Hyperlink"/>
          </w:rPr>
          <w:t xml:space="preserve">KPI supply chain</w:t>
        </w:r>
      </w:hyperlink>
      <w:r>
        <w:t xml:space="preserve"> </w:t>
      </w:r>
      <w:r>
        <w:t xml:space="preserve">yang paling sering dipantau. Syaratnya satu: angkanya dihitung dengan benar. Artikel ini membedah rumusnya, cara membacanya, dan tuas yang benar-benar menaikkannya.</w:t>
      </w:r>
    </w:p>
    <w:p>
      <w:pPr>
        <w:pStyle w:val="BlockText"/>
      </w:pPr>
      <w:r>
        <w:rPr>
          <w:b/>
          <w:bCs/>
        </w:rPr>
        <w:t xml:space="preserve">Ringkasnya:</w:t>
      </w:r>
      <w:r>
        <w:t xml:space="preserve"> </w:t>
      </w:r>
      <w:r>
        <w:t xml:space="preserve">Inventory turnover ratio (rasio perputaran persediaan) adalah rasio efisiensi yang mengukur berapa kali persediaan terjual dan tergantikan sepanjang satu periode, umumnya satu tahun. Angkanya dihitung dengan membagi harga pokok penjualan (HPP) selama periode tersebut dengan nilai persediaan rata-rata pada periode yang sama.</w:t>
      </w:r>
    </w:p>
    <w:bookmarkStart w:id="20" w:name="X58e778ef6a8c009086a5821b77cbaac5ed87178"/>
    <w:p>
      <w:pPr>
        <w:pStyle w:val="Heading2"/>
      </w:pPr>
      <w:r>
        <w:t xml:space="preserve">Rumus Inventory Turnover dan Contoh Perhitungannya</w:t>
      </w:r>
    </w:p>
    <w:p>
      <w:pPr>
        <w:pStyle w:val="FirstParagraph"/>
      </w:pPr>
      <w:r>
        <w:t xml:space="preserve">Pembilang rasio ini adalah harga pokok penjualan, bukan penjualan. Perbedaannya bukan detail akademis: memakai penjualan menyeret margin ke dalam rasio dan menggelembungkan angkanya. HPP di sini berarti harga pokok penjualan (</w:t>
      </w:r>
      <w:r>
        <w:rPr>
          <w:i/>
          <w:iCs/>
        </w:rPr>
        <w:t xml:space="preserve">cost of goods sold</w:t>
      </w:r>
      <w:r>
        <w:t xml:space="preserve">), bukan harga pokok produksi. Persediaan rata-rata sendiri dihitung dari saldo awal dan saldo akhir periode.</w:t>
      </w:r>
    </w:p>
    <w:p>
      <w:pPr>
        <w:pStyle w:val="BodyText"/>
      </w:pPr>
      <w:r>
        <w:rPr>
          <w:b/>
          <w:bCs/>
        </w:rPr>
        <w:t xml:space="preserve">Inventory Turnover = Harga Pokok Penjualan ÷ Persediaan Rata-rata</w:t>
      </w:r>
    </w:p>
    <w:p>
      <w:pPr>
        <w:pStyle w:val="BodyText"/>
      </w:pPr>
      <w:r>
        <w:rPr>
          <w:b/>
          <w:bCs/>
        </w:rPr>
        <w:t xml:space="preserve">Persediaan Rata-rata = (Persediaan Awal + Persediaan Akhir) ÷ 2</w:t>
      </w:r>
    </w:p>
    <w:p>
      <w:pPr>
        <w:pStyle w:val="BodyText"/>
      </w:pPr>
      <w:r>
        <w:t xml:space="preserve">Misalnya, sebuah distributor mencatat HPP setahun Rp 9 miliar, persediaan awal Rp 1,2 miliar, dan persediaan akhir Rp 1,8 miliar. Persediaan rata-ratanya Rp 1,5 miliar, sehingga rasionya 9 ÷ 1,5 = 6,0 kali setahun. Angka ini ilustratif, bukan data perusahaan tertentu.</w:t>
      </w:r>
    </w:p>
    <w:p>
      <w:pPr>
        <w:pStyle w:val="BodyText"/>
      </w:pPr>
      <w:r>
        <w:t xml:space="preserve">Alasan pembilangnya HPP bisa diverifikasi. Persediaan dicatat di neraca pada basis biaya:</w:t>
      </w:r>
      <w:r>
        <w:t xml:space="preserve"> </w:t>
      </w:r>
      <w:hyperlink r:id="rId18">
        <w:r>
          <w:rPr>
            <w:rStyle w:val="Hyperlink"/>
          </w:rPr>
          <w:t xml:space="preserve">IAS 2</w:t>
        </w:r>
      </w:hyperlink>
      <w:r>
        <w:t xml:space="preserve"> </w:t>
      </w:r>
      <w:r>
        <w:t xml:space="preserve">menyatakan persediaan diukur pada mana yang lebih rendah antara biaya perolehan dan nilai realisasi neto, dan padanan Indonesianya adalah PSAK 202</w:t>
      </w:r>
      <w:r>
        <w:t xml:space="preserve"> </w:t>
      </w:r>
      <w:r>
        <w:t xml:space="preserve">“Persediaan”</w:t>
      </w:r>
      <w:r>
        <w:t xml:space="preserve">. Kalau penyebutnya basis biaya, pembilangnya harus begitu juga.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Pembilang</w:t>
            </w:r>
          </w:p>
        </w:tc>
        <w:tc>
          <w:tcPr/>
          <w:p>
            <w:pPr>
              <w:pStyle w:val="Compact"/>
            </w:pPr>
            <w:r>
              <w:t xml:space="preserve">Rasio dari contoh yang sama</w:t>
            </w:r>
          </w:p>
        </w:tc>
        <w:tc>
          <w:tcPr/>
          <w:p>
            <w:pPr>
              <w:pStyle w:val="Compact"/>
            </w:pPr>
            <w:r>
              <w:t xml:space="preserve">Masalahnya</w:t>
            </w:r>
          </w:p>
        </w:tc>
      </w:tr>
      <w:tr>
        <w:tc>
          <w:tcPr/>
          <w:p>
            <w:pPr>
              <w:pStyle w:val="Compact"/>
            </w:pPr>
            <w:r>
              <w:rPr>
                <w:b/>
                <w:bCs/>
              </w:rPr>
              <w:t xml:space="preserve">Harga pokok penjualan (Rp 9 miliar)</w:t>
            </w:r>
          </w:p>
        </w:tc>
        <w:tc>
          <w:tcPr/>
          <w:p>
            <w:pPr>
              <w:pStyle w:val="Compact"/>
            </w:pPr>
            <w:r>
              <w:rPr>
                <w:b/>
                <w:bCs/>
              </w:rPr>
              <w:t xml:space="preserve">6,0 kali</w:t>
            </w:r>
          </w:p>
        </w:tc>
        <w:tc>
          <w:tcPr/>
          <w:p>
            <w:pPr>
              <w:pStyle w:val="Compact"/>
            </w:pPr>
            <w:r>
              <w:t xml:space="preserve">Basis biaya, sejalan dengan cara persediaan dicatat</w:t>
            </w:r>
          </w:p>
        </w:tc>
      </w:tr>
      <w:tr>
        <w:tc>
          <w:tcPr/>
          <w:p>
            <w:pPr>
              <w:pStyle w:val="Compact"/>
            </w:pPr>
            <w:r>
              <w:rPr>
                <w:b/>
                <w:bCs/>
              </w:rPr>
              <w:t xml:space="preserve">Penjualan (Rp 12,86 miliar, asumsi margin kotor 30%)</w:t>
            </w:r>
          </w:p>
        </w:tc>
        <w:tc>
          <w:tcPr/>
          <w:p>
            <w:pPr>
              <w:pStyle w:val="Compact"/>
            </w:pPr>
            <w:r>
              <w:rPr>
                <w:b/>
                <w:bCs/>
              </w:rPr>
              <w:t xml:space="preserve">8,6 kali</w:t>
            </w:r>
          </w:p>
        </w:tc>
        <w:tc>
          <w:tcPr/>
          <w:p>
            <w:pPr>
              <w:pStyle w:val="Compact"/>
            </w:pPr>
            <w:r>
              <w:t xml:space="preserve">Margin ikut terhitung; efisiensi tampak 1,43 kali lebih baik padahal stok bergerak sama</w:t>
            </w:r>
          </w:p>
        </w:tc>
      </w:tr>
    </w:tbl>
    <w:p>
      <w:pPr>
        <w:pStyle w:val="BodyText"/>
      </w:pPr>
      <w:r>
        <w:t xml:space="preserve">Faktor 1,43 bukan asumsi, melainkan identitas aritmetika: 1 ÷ (1 − margin kotor). Makin tinggi margin, makin besar distorsinya.</w:t>
      </w:r>
    </w:p>
    <w:p>
      <w:pPr>
        <w:pStyle w:val="BodyText"/>
      </w:pPr>
      <w:r>
        <w:t xml:space="preserve">Kedua input datang dari dua</w:t>
      </w:r>
      <w:r>
        <w:t xml:space="preserve"> </w:t>
      </w:r>
      <w:hyperlink r:id="rId19">
        <w:r>
          <w:rPr>
            <w:rStyle w:val="Hyperlink"/>
          </w:rPr>
          <w:t xml:space="preserve">laporan keuangan</w:t>
        </w:r>
      </w:hyperlink>
      <w:r>
        <w:t xml:space="preserve"> </w:t>
      </w:r>
      <w:r>
        <w:t xml:space="preserve">berbeda: HPP dari laporan laba rugi, saldo persediaan dari neraca.</w:t>
      </w:r>
    </w:p>
    <w:bookmarkEnd w:id="20"/>
    <w:bookmarkStart w:id="22" w:name="berapa-inventory-turnover-yang-bagus"/>
    <w:p>
      <w:pPr>
        <w:pStyle w:val="Heading2"/>
      </w:pPr>
      <w:r>
        <w:t xml:space="preserve">Berapa Inventory Turnover yang Bagus?</w:t>
      </w:r>
    </w:p>
    <w:p>
      <w:pPr>
        <w:pStyle w:val="FirstParagraph"/>
      </w:pPr>
      <w:r>
        <w:t xml:space="preserve">Tidak ada angka universal yang berlaku lintas industri. Pembanding yang sah hanya dua: tren perusahaan Anda sendiri dari periode ke periode, dan rata-rata sektor yang benar-benar setara. Cara tercepat membuat rasio ini bisa ditindaklanjuti adalah menerjemahkannya ke hari, karena tim operasional berpikir dalam hari, bukan dalam kali.</w:t>
      </w:r>
    </w:p>
    <w:p>
      <w:pPr>
        <w:pStyle w:val="BodyText"/>
      </w:pPr>
      <w:r>
        <w:t xml:space="preserve">Konversinya satu baris: DSI (</w:t>
      </w:r>
      <w:r>
        <w:rPr>
          <w:i/>
          <w:iCs/>
        </w:rPr>
        <w:t xml:space="preserve">days sales of inventory</w:t>
      </w:r>
      <w:r>
        <w:t xml:space="preserve">, hari persediaan) = 365 ÷ turnover. Rasio 6,0 kali berarti 365 ÷ 6,0 ≈ 61 hari stok tersimpan sebelum terjual.</w:t>
      </w:r>
    </w:p>
    <w:p>
      <w:pPr>
        <w:pStyle w:val="BodyText"/>
      </w:pPr>
      <w:r>
        <w:t xml:space="preserve">Angka</w:t>
      </w:r>
      <w:r>
        <w:t xml:space="preserve"> </w:t>
      </w:r>
      <w:r>
        <w:t xml:space="preserve">“ideal 5-10”</w:t>
      </w:r>
      <w:r>
        <w:t xml:space="preserve"> </w:t>
      </w:r>
      <w:r>
        <w:t xml:space="preserve">yang beredar di banyak blog tidak punya sumber primer. Data resmi justru menunjukkan pembandingnya bergantung sektor.</w:t>
      </w:r>
      <w:r>
        <w:t xml:space="preserve"> </w:t>
      </w:r>
      <w:hyperlink r:id="rId21">
        <w:r>
          <w:rPr>
            <w:rStyle w:val="Hyperlink"/>
          </w:rPr>
          <w:t xml:space="preserve">U.S. Census Bureau</w:t>
        </w:r>
      </w:hyperlink>
      <w:r>
        <w:t xml:space="preserve"> </w:t>
      </w:r>
      <w:r>
        <w:t xml:space="preserve">(MTIS, rilis 16 Juli 2026) mencatat rasio persediaan terhadap penjualan bisnis Amerika Serikat, disesuaikan musiman: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Sektor (AS)</w:t>
            </w:r>
          </w:p>
        </w:tc>
        <w:tc>
          <w:tcPr/>
          <w:p>
            <w:pPr>
              <w:pStyle w:val="Compact"/>
            </w:pPr>
            <w:r>
              <w:t xml:space="preserve">Mei 2026</w:t>
            </w:r>
          </w:p>
        </w:tc>
        <w:tc>
          <w:tcPr/>
          <w:p>
            <w:pPr>
              <w:pStyle w:val="Compact"/>
            </w:pPr>
            <w:r>
              <w:t xml:space="preserve">Mei 2025</w:t>
            </w:r>
          </w:p>
        </w:tc>
      </w:tr>
      <w:tr>
        <w:tc>
          <w:tcPr/>
          <w:p>
            <w:pPr>
              <w:pStyle w:val="Compact"/>
            </w:pPr>
            <w:r>
              <w:t xml:space="preserve">Total bisnis</w:t>
            </w:r>
          </w:p>
        </w:tc>
        <w:tc>
          <w:tcPr/>
          <w:p>
            <w:pPr>
              <w:pStyle w:val="Compact"/>
            </w:pPr>
            <w:r>
              <w:rPr>
                <w:b/>
                <w:bCs/>
              </w:rPr>
              <w:t xml:space="preserve">1,28</w:t>
            </w:r>
          </w:p>
        </w:tc>
        <w:tc>
          <w:tcPr/>
          <w:p>
            <w:pPr>
              <w:pStyle w:val="Compact"/>
            </w:pPr>
            <w:r>
              <w:t xml:space="preserve">1,39</w:t>
            </w:r>
          </w:p>
        </w:tc>
      </w:tr>
      <w:tr>
        <w:tc>
          <w:tcPr/>
          <w:p>
            <w:pPr>
              <w:pStyle w:val="Compact"/>
            </w:pPr>
            <w:r>
              <w:t xml:space="preserve">Manufaktur</w:t>
            </w:r>
          </w:p>
        </w:tc>
        <w:tc>
          <w:tcPr/>
          <w:p>
            <w:pPr>
              <w:pStyle w:val="Compact"/>
            </w:pPr>
            <w:r>
              <w:rPr>
                <w:b/>
                <w:bCs/>
              </w:rPr>
              <w:t xml:space="preserve">1,47</w:t>
            </w:r>
          </w:p>
        </w:tc>
        <w:tc>
          <w:tcPr/>
          <w:p>
            <w:pPr>
              <w:pStyle w:val="Compact"/>
            </w:pPr>
            <w:r>
              <w:t xml:space="preserve">1,57</w:t>
            </w:r>
          </w:p>
        </w:tc>
      </w:tr>
      <w:tr>
        <w:tc>
          <w:tcPr/>
          <w:p>
            <w:pPr>
              <w:pStyle w:val="Compact"/>
            </w:pPr>
            <w:r>
              <w:t xml:space="preserve">Ritel</w:t>
            </w:r>
          </w:p>
        </w:tc>
        <w:tc>
          <w:tcPr/>
          <w:p>
            <w:pPr>
              <w:pStyle w:val="Compact"/>
            </w:pPr>
            <w:r>
              <w:rPr>
                <w:b/>
                <w:bCs/>
              </w:rPr>
              <w:t xml:space="preserve">1,25</w:t>
            </w:r>
          </w:p>
        </w:tc>
        <w:tc>
          <w:tcPr/>
          <w:p>
            <w:pPr>
              <w:pStyle w:val="Compact"/>
            </w:pPr>
            <w:r>
              <w:t xml:space="preserve">1,31</w:t>
            </w:r>
          </w:p>
        </w:tc>
      </w:tr>
      <w:tr>
        <w:tc>
          <w:tcPr/>
          <w:p>
            <w:pPr>
              <w:pStyle w:val="Compact"/>
            </w:pPr>
            <w:r>
              <w:t xml:space="preserve">Pedagang grosir</w:t>
            </w:r>
          </w:p>
        </w:tc>
        <w:tc>
          <w:tcPr/>
          <w:p>
            <w:pPr>
              <w:pStyle w:val="Compact"/>
            </w:pPr>
            <w:r>
              <w:rPr>
                <w:b/>
                <w:bCs/>
              </w:rPr>
              <w:t xml:space="preserve">1,15</w:t>
            </w:r>
          </w:p>
        </w:tc>
        <w:tc>
          <w:tcPr/>
          <w:p>
            <w:pPr>
              <w:pStyle w:val="Compact"/>
            </w:pPr>
            <w:r>
              <w:t xml:space="preserve">1,31</w:t>
            </w:r>
          </w:p>
        </w:tc>
      </w:tr>
    </w:tbl>
    <w:p>
      <w:pPr>
        <w:pStyle w:val="BodyText"/>
      </w:pPr>
      <w:r>
        <w:t xml:space="preserve">Tabel ini perlu dibaca hati-hati. Isinya rasio persediaan terhadap penjualan, bukan inventory turnover, dan angkanya agregat Amerika Serikat: rujukan arah, bukan target untuk perusahaan Indonesia. Nilainya terletak pada satu hal. Di metrik, negara, dan bulan yang sama, pedagang grosir (1,15) dan manufaktur (1,47) berbeda sekitar 28%. Jika satu angka saja tidak berlaku lintas sektor dalam satu negara,</w:t>
      </w:r>
      <w:r>
        <w:t xml:space="preserve"> </w:t>
      </w:r>
      <w:r>
        <w:t xml:space="preserve">“rasio ideal”</w:t>
      </w:r>
      <w:r>
        <w:t xml:space="preserve"> </w:t>
      </w:r>
      <w:r>
        <w:t xml:space="preserve">lintas industri jelas tidak ada.</w:t>
      </w:r>
    </w:p>
    <w:p>
      <w:pPr>
        <w:pStyle w:val="BodyText"/>
      </w:pPr>
      <w:r>
        <w:t xml:space="preserve">Rasio tinggi pun tidak otomatis sehat. Saat stok habis dan penjualan hilang, persediaan rata-rata mengecil lebih cepat daripada HPP, dan rasionya justru melonjak. Karena itu turnover dibaca berdampingan dengan tingkat layanan dan</w:t>
      </w:r>
      <w:r>
        <w:t xml:space="preserve"> </w:t>
      </w:r>
      <w:r>
        <w:rPr>
          <w:i/>
          <w:iCs/>
        </w:rPr>
        <w:t xml:space="preserve">stockout</w:t>
      </w:r>
      <w:r>
        <w:t xml:space="preserve"> </w:t>
      </w:r>
      <w:r>
        <w:t xml:space="preserve">(kehabisan stok).</w:t>
      </w:r>
    </w:p>
    <w:bookmarkEnd w:id="22"/>
    <w:bookmarkStart w:id="23" w:name="cara-meningkatkan-inventory-turnover"/>
    <w:p>
      <w:pPr>
        <w:pStyle w:val="Heading2"/>
      </w:pPr>
      <w:r>
        <w:t xml:space="preserve">Cara Meningkatkan Inventory Turnover</w:t>
      </w:r>
    </w:p>
    <w:p>
      <w:pPr>
        <w:pStyle w:val="FirstParagraph"/>
      </w:pPr>
      <w:r>
        <w:t xml:space="preserve">Urutannya menentukan hasil. Perbaiki dulu akurasi permintaan dan kualitas data stok, baru sentuh jumlah stoknya. Diskon besar-besaran memang menaikkan rasio dalam satu kuartal, tetapi menggerus margin dan tidak menyentuh penyebab stok salah sejak awal. Berikut lima tuas, diurutkan dari akar ke gejala.</w:t>
      </w:r>
    </w:p>
    <w:p>
      <w:pPr>
        <w:pStyle w:val="Compact"/>
        <w:numPr>
          <w:ilvl w:val="0"/>
          <w:numId w:val="1001"/>
        </w:numPr>
      </w:pPr>
      <w:r>
        <w:rPr>
          <w:b/>
          <w:bCs/>
        </w:rPr>
        <w:t xml:space="preserve">Akurasi peramalan permintaan.</w:t>
      </w:r>
      <w:r>
        <w:t xml:space="preserve"> </w:t>
      </w:r>
      <w:r>
        <w:t xml:space="preserve">Salah ramalan berarti stok salah sejak hari pertama; tuas lain hanya membereskan akibatnya.</w:t>
      </w:r>
    </w:p>
    <w:p>
      <w:pPr>
        <w:pStyle w:val="Compact"/>
        <w:numPr>
          <w:ilvl w:val="0"/>
          <w:numId w:val="1001"/>
        </w:numPr>
      </w:pPr>
      <w:r>
        <w:rPr>
          <w:b/>
          <w:bCs/>
        </w:rPr>
        <w:t xml:space="preserve">Triase</w:t>
      </w:r>
      <w:r>
        <w:rPr>
          <w:b/>
          <w:bCs/>
        </w:rPr>
        <w:t xml:space="preserve"> </w:t>
      </w:r>
      <w:r>
        <w:rPr>
          <w:b/>
          <w:bCs/>
          <w:i/>
          <w:iCs/>
        </w:rPr>
        <w:t xml:space="preserve">slow moving</w:t>
      </w:r>
      <w:r>
        <w:rPr>
          <w:b/>
          <w:bCs/>
        </w:rPr>
        <w:t xml:space="preserve"> </w:t>
      </w:r>
      <w:r>
        <w:rPr>
          <w:b/>
          <w:bCs/>
        </w:rPr>
        <w:t xml:space="preserve">dan</w:t>
      </w:r>
      <w:r>
        <w:rPr>
          <w:b/>
          <w:bCs/>
        </w:rPr>
        <w:t xml:space="preserve"> </w:t>
      </w:r>
      <w:r>
        <w:rPr>
          <w:b/>
          <w:bCs/>
          <w:i/>
          <w:iCs/>
        </w:rPr>
        <w:t xml:space="preserve">dead stock</w:t>
      </w:r>
      <w:r>
        <w:rPr>
          <w:b/>
          <w:bCs/>
        </w:rPr>
        <w:t xml:space="preserve">.</w:t>
      </w:r>
      <w:r>
        <w:t xml:space="preserve"> </w:t>
      </w:r>
      <w:r>
        <w:t xml:space="preserve">Pisahkan barang yang masih bernilai, yang bisa dilepas lewat</w:t>
      </w:r>
      <w:r>
        <w:t xml:space="preserve"> </w:t>
      </w:r>
      <w:r>
        <w:rPr>
          <w:i/>
          <w:iCs/>
        </w:rPr>
        <w:t xml:space="preserve">bundling</w:t>
      </w:r>
      <w:r>
        <w:t xml:space="preserve"> </w:t>
      </w:r>
      <w:r>
        <w:t xml:space="preserve">atau</w:t>
      </w:r>
      <w:r>
        <w:t xml:space="preserve"> </w:t>
      </w:r>
      <w:r>
        <w:rPr>
          <w:i/>
          <w:iCs/>
        </w:rPr>
        <w:t xml:space="preserve">clearance</w:t>
      </w:r>
      <w:r>
        <w:t xml:space="preserve">, dari yang nilainya nyaris nol. Berhenti membeli ulang SKU mati.</w:t>
      </w:r>
    </w:p>
    <w:p>
      <w:pPr>
        <w:pStyle w:val="Compact"/>
        <w:numPr>
          <w:ilvl w:val="0"/>
          <w:numId w:val="1001"/>
        </w:numPr>
      </w:pPr>
      <w:r>
        <w:rPr>
          <w:b/>
          <w:bCs/>
        </w:rPr>
        <w:t xml:space="preserve">Right-sizing buffer.</w:t>
      </w:r>
      <w:r>
        <w:t xml:space="preserve"> </w:t>
      </w:r>
      <w:r>
        <w:t xml:space="preserve">Buffer yang kelebihan menahan rasio di bawah potensinya.</w:t>
      </w:r>
    </w:p>
    <w:p>
      <w:pPr>
        <w:pStyle w:val="Compact"/>
        <w:numPr>
          <w:ilvl w:val="0"/>
          <w:numId w:val="1001"/>
        </w:numPr>
      </w:pPr>
      <w:r>
        <w:rPr>
          <w:b/>
          <w:bCs/>
        </w:rPr>
        <w:t xml:space="preserve">Perpendek lead time pemasok.</w:t>
      </w:r>
      <w:r>
        <w:t xml:space="preserve"> </w:t>
      </w:r>
      <w:r>
        <w:t xml:space="preserve">Stok dalam perjalanan tetap stok, dan tetap menahan kas.</w:t>
      </w:r>
    </w:p>
    <w:p>
      <w:pPr>
        <w:pStyle w:val="Compact"/>
        <w:numPr>
          <w:ilvl w:val="0"/>
          <w:numId w:val="1001"/>
        </w:numPr>
      </w:pPr>
      <w:r>
        <w:rPr>
          <w:b/>
          <w:bCs/>
        </w:rPr>
        <w:t xml:space="preserve">Akurasi catatan stok.</w:t>
      </w:r>
      <w:r>
        <w:t xml:space="preserve"> </w:t>
      </w:r>
      <w:r>
        <w:t xml:space="preserve">Rasio yang dihitung dari saldo yang salah tetap salah.</w:t>
      </w:r>
    </w:p>
    <w:p>
      <w:pPr>
        <w:pStyle w:val="FirstParagraph"/>
      </w:pPr>
      <w:r>
        <w:t xml:space="preserve">Tuas pertama dan ketiga adalah persoalan perencanaan. Di situlah kelas alat seperti SAP Integrated Business Planning (SAP IBP) bekerja: SAP memosisikannya untuk</w:t>
      </w:r>
      <w:r>
        <w:t xml:space="preserve"> </w:t>
      </w:r>
      <w:r>
        <w:rPr>
          <w:i/>
          <w:iCs/>
        </w:rPr>
        <w:t xml:space="preserve">multi-echelon inventory optimization</w:t>
      </w:r>
      <w:r>
        <w:t xml:space="preserve"> </w:t>
      </w:r>
      <w:r>
        <w:t xml:space="preserve">dan penempatan stok terhadap</w:t>
      </w:r>
      <w:r>
        <w:t xml:space="preserve"> </w:t>
      </w:r>
      <w:r>
        <w:rPr>
          <w:i/>
          <w:iCs/>
        </w:rPr>
        <w:t xml:space="preserve">forecast error</w:t>
      </w:r>
      <w:r>
        <w:t xml:space="preserve"> </w:t>
      </w:r>
      <w:r>
        <w:t xml:space="preserve">serta ketidakpastian pasokan.</w:t>
      </w:r>
    </w:p>
    <w:p>
      <w:pPr>
        <w:pStyle w:val="BodyText"/>
      </w:pPr>
      <w:r>
        <w:t xml:space="preserve">Satu peringatan sebelum rasio ini dipasang sebagai target KPI. Angkanya bisa</w:t>
      </w:r>
      <w:r>
        <w:t xml:space="preserve"> </w:t>
      </w:r>
      <w:r>
        <w:t xml:space="preserve">“diperbaiki”</w:t>
      </w:r>
      <w:r>
        <w:t xml:space="preserve"> </w:t>
      </w:r>
      <w:r>
        <w:t xml:space="preserve">dengan cara yang merusak: tahan pembelian sampai stok kering, rasio naik, penjualan hilang. Pasangkan targetnya dengan tingkat layanan.</w:t>
      </w:r>
    </w:p>
    <w:bookmarkEnd w:id="23"/>
    <w:bookmarkStart w:id="27" w:name="faq-pertanyaan-yang-sering-diajukan"/>
    <w:p>
      <w:pPr>
        <w:pStyle w:val="Heading2"/>
      </w:pPr>
      <w:r>
        <w:t xml:space="preserve">FAQ (Pertanyaan yang Sering Diajukan)</w:t>
      </w:r>
    </w:p>
    <w:bookmarkStart w:id="24" w:name="X23a1612eb45ce249cca3f49a37a62dba3c06198"/>
    <w:p>
      <w:pPr>
        <w:pStyle w:val="Heading3"/>
      </w:pPr>
      <w:r>
        <w:t xml:space="preserve">Periode apa yang dipakai menghitung inventory turnover?</w:t>
      </w:r>
    </w:p>
    <w:p>
      <w:pPr>
        <w:pStyle w:val="FirstParagraph"/>
      </w:pPr>
      <w:r>
        <w:t xml:space="preserve">Standarnya satu tahun buku. Jika memakai harga pokok penjualan bulanan, setahunkan dulu dengan mengalikan 12 sebelum membandingkannya dengan rasio tahunan. Membandingkan periode dengan panjang berbeda, misalnya kuartalan melawan tahunan, membuat kinerja tampak jauh lebih buruk daripada kenyataannya.</w:t>
      </w:r>
    </w:p>
    <w:bookmarkEnd w:id="24"/>
    <w:bookmarkStart w:id="25" w:name="Xf0b5f729de289907864a28cdce92196cadeb245"/>
    <w:p>
      <w:pPr>
        <w:pStyle w:val="Heading3"/>
      </w:pPr>
      <w:r>
        <w:t xml:space="preserve">Bagaimana cara menghitung persediaan rata-rata?</w:t>
      </w:r>
    </w:p>
    <w:p>
      <w:pPr>
        <w:pStyle w:val="FirstParagraph"/>
      </w:pPr>
      <w:r>
        <w:t xml:space="preserve">Untuk bisnis dengan stok stabil, jumlahkan persediaan awal dan akhir lalu bagi dua. Untuk bisnis musiman, rata-rata dua titik menyesatkan karena melewatkan puncak dan lembah di tengah periode. Praktik yang lazim dipakai analis adalah rata-rata 13 titik: saldo akhir dua belas bulan ditambah saldo awal tahun.</w:t>
      </w:r>
    </w:p>
    <w:bookmarkEnd w:id="25"/>
    <w:bookmarkStart w:id="26" w:name="X88a3c1ccc109ff36cde9ccac90e9c4216d1faf2"/>
    <w:p>
      <w:pPr>
        <w:pStyle w:val="Heading3"/>
      </w:pPr>
      <w:r>
        <w:t xml:space="preserve">Apa hubungan inventory turnover dengan arus kas?</w:t>
      </w:r>
    </w:p>
    <w:p>
      <w:pPr>
        <w:pStyle w:val="FirstParagraph"/>
      </w:pPr>
      <w:r>
        <w:t xml:space="preserve">Hari persediaan adalah komponen pertama siklus kas. Dalam model SCOR dari ASCM, cash-to-cash cycle time dihitung sebagai hari persediaan ditambah hari piutang dikurangi hari utang. Memperpendek hari persediaan langsung memperpendek jarak antara uang yang keluar untuk stok dan uang yang kembali dari pelanggan.</w:t>
      </w:r>
    </w:p>
    <w:bookmarkEnd w:id="26"/>
    <w:bookmarkEnd w:id="27"/>
    <w:bookmarkStart w:id="28" w:name="kesimpulan"/>
    <w:p>
      <w:pPr>
        <w:pStyle w:val="Heading2"/>
      </w:pPr>
      <w:r>
        <w:t xml:space="preserve">Kesimpulan</w:t>
      </w:r>
    </w:p>
    <w:p>
      <w:pPr>
        <w:pStyle w:val="FirstParagraph"/>
      </w:pPr>
      <w:r>
        <w:t xml:space="preserve">Rasio ini hanya sekuat basis angkanya: pembilang HPP, penyebut persediaan rata-rata, dibaca sebagai hari, dan dipasangkan dengan tingkat layanan. Perdebatan gudang versus finance selesai oleh angka yang jujur, bukan angka yang tinggi. Sebagai SAP Platinum Partner melalui United VARs, Soltius mendampingi perusahaan distribusi, manufaktur, dan ritel mengimplementasikan SAP tempat rasio ini dihitung dan dipantau.</w:t>
      </w:r>
    </w:p>
    <w:p>
      <w:pPr>
        <w:pStyle w:val="BodyText"/>
      </w:pPr>
      <w:r>
        <w:t xml:space="preserve">Untuk mendiskusikan perencanaan persediaan dan penerapan SAP Integrated Business Planning di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www.census.gov/mtis/" TargetMode="External" /><Relationship Type="http://schemas.openxmlformats.org/officeDocument/2006/relationships/hyperlink" Id="rId18" Target="https://www.ifrs.org/issued-standards/list-of-standards/ias-2-inventories/" TargetMode="External" /><Relationship Type="http://schemas.openxmlformats.org/officeDocument/2006/relationships/hyperlink" Id="rId19" Target="https://www.soltius.co.id/id/blog/macam-macam-laporan-keuangan-dan-pengertiannya" TargetMode="External" /><Relationship Type="http://schemas.openxmlformats.org/officeDocument/2006/relationships/hyperlink" Id="rId17" Target="https://www.soltius.co.id/id/blog/tentukan-kpi-supply-chain-bisnis-anda" TargetMode="External" /></Relationships>
</file>

<file path=word/_rels/footnotes.xml.rels><?xml version="1.0" encoding="UTF-8"?><Relationships xmlns="http://schemas.openxmlformats.org/package/2006/relationships"><Relationship Type="http://schemas.openxmlformats.org/officeDocument/2006/relationships/hyperlink" Id="rId21" Target="https://www.census.gov/mtis/" TargetMode="External" /><Relationship Type="http://schemas.openxmlformats.org/officeDocument/2006/relationships/hyperlink" Id="rId18" Target="https://www.ifrs.org/issued-standards/list-of-standards/ias-2-inventories/" TargetMode="External" /><Relationship Type="http://schemas.openxmlformats.org/officeDocument/2006/relationships/hyperlink" Id="rId19" Target="https://www.soltius.co.id/id/blog/macam-macam-laporan-keuangan-dan-pengertiannya" TargetMode="External" /><Relationship Type="http://schemas.openxmlformats.org/officeDocument/2006/relationships/hyperlink" Id="rId17" Target="https://www.soltius.co.id/id/blog/tentukan-kpi-supply-chain-bisnis-and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2026-07-17T17:24:54Z</dcterms:created>
  <dcterms:modified xsi:type="dcterms:W3CDTF">2026-07-17T17:24:54Z</dcterms:modified>
</cp:coreProperties>
</file>

<file path=docProps/custom.xml><?xml version="1.0" encoding="utf-8"?>
<Properties xmlns="http://schemas.openxmlformats.org/officeDocument/2006/custom-properties" xmlns:vt="http://schemas.openxmlformats.org/officeDocument/2006/docPropsVTypes"/>
</file>