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Laporan Keberlanjutan &amp; Kewajiban POJK 51 bagi Perusahaan"</w:t>
      </w:r>
      <w:r>
        <w:br/>
      </w:r>
      <w:r>
        <w:rPr>
          <w:rStyle w:val="FunctionTok"/>
        </w:rPr>
        <w:t xml:space="preserve">meta_title</w:t>
      </w:r>
      <w:r>
        <w:rPr>
          <w:rStyle w:val="KeywordTok"/>
        </w:rPr>
        <w:t xml:space="preserve">:</w:t>
      </w:r>
      <w:r>
        <w:rPr>
          <w:rStyle w:val="AttributeTok"/>
        </w:rPr>
        <w:t xml:space="preserve"> </w:t>
      </w:r>
      <w:r>
        <w:rPr>
          <w:rStyle w:val="StringTok"/>
        </w:rPr>
        <w:t xml:space="preserve">"Laporan Keberlanjutan: Kewajiban POJK 51 &amp; Isi Laporannya"</w:t>
      </w:r>
      <w:r>
        <w:br/>
      </w:r>
      <w:r>
        <w:rPr>
          <w:rStyle w:val="FunctionTok"/>
        </w:rPr>
        <w:t xml:space="preserve">meta_description</w:t>
      </w:r>
      <w:r>
        <w:rPr>
          <w:rStyle w:val="KeywordTok"/>
        </w:rPr>
        <w:t xml:space="preserve">:</w:t>
      </w:r>
      <w:r>
        <w:rPr>
          <w:rStyle w:val="AttributeTok"/>
        </w:rPr>
        <w:t xml:space="preserve"> </w:t>
      </w:r>
      <w:r>
        <w:rPr>
          <w:rStyle w:val="StringTok"/>
        </w:rPr>
        <w:t xml:space="preserve">"Laporan keberlanjutan wajib menurut POJK 51: siapa saja yang harus menyusun, 9 komponen isi minimum, tenggat 30 April, sanksinya, dan bedanya dengan RAKB."</w:t>
      </w:r>
      <w:r>
        <w:br/>
      </w:r>
      <w:r>
        <w:rPr>
          <w:rStyle w:val="FunctionTok"/>
        </w:rPr>
        <w:t xml:space="preserve">slug</w:t>
      </w:r>
      <w:r>
        <w:rPr>
          <w:rStyle w:val="KeywordTok"/>
        </w:rPr>
        <w:t xml:space="preserve">:</w:t>
      </w:r>
      <w:r>
        <w:rPr>
          <w:rStyle w:val="AttributeTok"/>
        </w:rPr>
        <w:t xml:space="preserve"> </w:t>
      </w:r>
      <w:r>
        <w:rPr>
          <w:rStyle w:val="StringTok"/>
        </w:rPr>
        <w:t xml:space="preserve">"laporan-keberlanjutan-kewajiban-pojk-51"</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"laporan keberlanjutan"</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"sustainability report"</w:t>
      </w:r>
      <w:r>
        <w:rPr>
          <w:rStyle w:val="KeywordTok"/>
        </w:rPr>
        <w:t xml:space="preserve">,</w:t>
      </w:r>
      <w:r>
        <w:rPr>
          <w:rStyle w:val="AttributeTok"/>
        </w:rPr>
        <w:t xml:space="preserve"> </w:t>
      </w:r>
      <w:r>
        <w:rPr>
          <w:rStyle w:val="StringTok"/>
        </w:rPr>
        <w:t xml:space="preserve">"POJK 51/POJK.03/2017"</w:t>
      </w:r>
      <w:r>
        <w:rPr>
          <w:rStyle w:val="KeywordTok"/>
        </w:rPr>
        <w:t xml:space="preserve">,</w:t>
      </w:r>
      <w:r>
        <w:rPr>
          <w:rStyle w:val="AttributeTok"/>
        </w:rPr>
        <w:t xml:space="preserve"> </w:t>
      </w:r>
      <w:r>
        <w:rPr>
          <w:rStyle w:val="StringTok"/>
        </w:rPr>
        <w:t xml:space="preserve">"Otoritas Jasa Keuangan (OJK)"</w:t>
      </w:r>
      <w:r>
        <w:rPr>
          <w:rStyle w:val="KeywordTok"/>
        </w:rPr>
        <w:t xml:space="preserve">,</w:t>
      </w:r>
      <w:r>
        <w:rPr>
          <w:rStyle w:val="AttributeTok"/>
        </w:rPr>
        <w:t xml:space="preserve"> </w:t>
      </w:r>
      <w:r>
        <w:rPr>
          <w:rStyle w:val="StringTok"/>
        </w:rPr>
        <w:t xml:space="preserve">"Rencana Aksi Keuangan Berkelanjutan (RAKB)"</w:t>
      </w:r>
      <w:r>
        <w:rPr>
          <w:rStyle w:val="KeywordTok"/>
        </w:rPr>
        <w:t xml:space="preserve">,</w:t>
      </w:r>
      <w:r>
        <w:rPr>
          <w:rStyle w:val="AttributeTok"/>
        </w:rPr>
        <w:t xml:space="preserve"> </w:t>
      </w:r>
      <w:r>
        <w:rPr>
          <w:rStyle w:val="StringTok"/>
        </w:rPr>
        <w:t xml:space="preserve">"lembaga jasa keuangan (LJK)"</w:t>
      </w:r>
      <w:r>
        <w:rPr>
          <w:rStyle w:val="KeywordTok"/>
        </w:rPr>
        <w:t xml:space="preserve">,</w:t>
      </w:r>
      <w:r>
        <w:rPr>
          <w:rStyle w:val="AttributeTok"/>
        </w:rPr>
        <w:t xml:space="preserve"> </w:t>
      </w:r>
      <w:r>
        <w:rPr>
          <w:rStyle w:val="StringTok"/>
        </w:rPr>
        <w:t xml:space="preserve">"emiten dan perusahaan publik"</w:t>
      </w:r>
      <w:r>
        <w:rPr>
          <w:rStyle w:val="KeywordTok"/>
        </w:rPr>
        <w:t xml:space="preserve">,</w:t>
      </w:r>
      <w:r>
        <w:rPr>
          <w:rStyle w:val="AttributeTok"/>
        </w:rPr>
        <w:t xml:space="preserve"> </w:t>
      </w:r>
      <w:r>
        <w:rPr>
          <w:rStyle w:val="StringTok"/>
        </w:rPr>
        <w:t xml:space="preserve">"isi laporan keberlanjutan"</w:t>
      </w:r>
      <w:r>
        <w:rPr>
          <w:rStyle w:val="KeywordTok"/>
        </w:rPr>
        <w:t xml:space="preserve">,</w:t>
      </w:r>
      <w:r>
        <w:rPr>
          <w:rStyle w:val="AttributeTok"/>
        </w:rPr>
        <w:t xml:space="preserve"> </w:t>
      </w:r>
      <w:r>
        <w:rPr>
          <w:rStyle w:val="StringTok"/>
        </w:rPr>
        <w:t xml:space="preserve">"laporan tahunan"</w:t>
      </w:r>
      <w:r>
        <w:rPr>
          <w:rStyle w:val="KeywordTok"/>
        </w:rPr>
        <w:t xml:space="preserve">,</w:t>
      </w:r>
      <w:r>
        <w:rPr>
          <w:rStyle w:val="AttributeTok"/>
        </w:rPr>
        <w:t xml:space="preserve"> </w:t>
      </w:r>
      <w:r>
        <w:rPr>
          <w:rStyle w:val="StringTok"/>
        </w:rPr>
        <w:t xml:space="preserve">"keuangan berkelanjutan"</w:t>
      </w:r>
      <w:r>
        <w:rPr>
          <w:rStyle w:val="KeywordTok"/>
        </w:rPr>
        <w:t xml:space="preserve">,</w:t>
      </w:r>
      <w:r>
        <w:rPr>
          <w:rStyle w:val="AttributeTok"/>
        </w:rPr>
        <w:t xml:space="preserve"> </w:t>
      </w:r>
      <w:r>
        <w:rPr>
          <w:rStyle w:val="StringTok"/>
        </w:rPr>
        <w:t xml:space="preserve">"kinerja keberlanjutan"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"https://www.soltius.co.id/id/blog/apa-itu-sap-sustainability-control-tower-sct-dasbor-terpusat-untuk-data-esg"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"dasbor terpusat data ESG"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"https://www.soltius.co.id/id/solutions-by-products/sustainability"</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keberlanjutan berbasis SAP"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"https://www.ojk.go.id/sustainable-finance/id/peraturan/peraturan-ojk/Documents/SAL%20POJK%2051%20-%20keuangan%20berkelanjutan.pdf"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"Salinan resmi POJK Nomor 51/POJK.03/2017 (OJK) — dasar Pasal 1 angka 7 &amp; 13, Pasal 4 (RAKB), Pasal 10 (kewajiban, jadwal bertahap, tenggat 30 April), Pasal 12 (publikasi), Pasal 13 (sanksi), dan Lampiran II (sembilan komponen isi)"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"https://ojk.go.id/id/regulasi/otoritas-jasa-keuangan/rancangan-regulasi/Pages/RPOJK-SF.aspx"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"Kanal Rancangan Regulasi OJK — RPOJK Penerapan Keuangan Berkelanjutan bagi PUSK, Emiten dan Perusahaan Publik; status masih rancangan, masa tanggapan publik ditutup 13 Maret 2026"</w:t>
      </w:r>
      <w:r>
        <w:br/>
      </w:r>
      <w:r>
        <w:rPr>
          <w:rStyle w:val="FunctionTok"/>
        </w:rPr>
        <w:t xml:space="preserve">brief_id</w:t>
      </w:r>
      <w:r>
        <w:rPr>
          <w:rStyle w:val="KeywordTok"/>
        </w:rPr>
        <w:t xml:space="preserve">:</w:t>
      </w:r>
      <w:r>
        <w:rPr>
          <w:rStyle w:val="AttributeTok"/>
        </w:rPr>
        <w:t xml:space="preserve"> </w:t>
      </w:r>
      <w:r>
        <w:rPr>
          <w:rStyle w:val="StringTok"/>
        </w:rPr>
        <w:t xml:space="preserve">"laporan-keberlanjutan-c01"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979</w:t>
      </w:r>
    </w:p>
    <w:p>
      <w:r>
        <w:pict>
          <v:rect style="width:0;height:1.5pt" o:hralign="center" o:hrstd="t" o:hr="t"/>
        </w:pict>
      </w:r>
    </w:p>
    <w:bookmarkEnd w:id="16"/>
    <w:bookmarkStart w:id="30" w:name="X084106d35956cd7f94bbea1e33a19067635e05f"/>
    <w:p>
      <w:pPr>
        <w:pStyle w:val="Heading1"/>
      </w:pPr>
      <w:r>
        <w:t xml:space="preserve">Apa Itu Laporan Keberlanjutan &amp; Kewajiban POJK 51 bagi Perusahaan</w:t>
      </w:r>
    </w:p>
    <w:p>
      <w:pPr>
        <w:pStyle w:val="FirstParagraph"/>
      </w:pPr>
      <w:r>
        <w:t xml:space="preserve">Setiap awal tahun, tim sekretaris perusahaan berburu angka konsumsi energi, data ketenagakerjaan, dan capaian sosial dari lintas divisi menjelang tenggat pelaporan ke OJK. Pertanyaan pertamanya justru administratif: apakah kami termasuk yang wajib menyusun laporan keberlanjutan, apa isi dokumen itu, dan kapan tenggatnya. POJK 51 menjawab ketiganya dengan rinci.</w:t>
      </w:r>
    </w:p>
    <w:p>
      <w:pPr>
        <w:pStyle w:val="BlockText"/>
      </w:pPr>
      <w:r>
        <w:rPr>
          <w:b/>
          <w:bCs/>
        </w:rPr>
        <w:t xml:space="preserve">Ringkasnya:</w:t>
      </w:r>
      <w:r>
        <w:t xml:space="preserve"> </w:t>
      </w:r>
      <w:r>
        <w:t xml:space="preserve">Laporan keberlanjutan (</w:t>
      </w:r>
      <w:r>
        <w:rPr>
          <w:i/>
          <w:iCs/>
        </w:rPr>
        <w:t xml:space="preserve">sustainability report</w:t>
      </w:r>
      <w:r>
        <w:t xml:space="preserve">) adalah laporan yang diumumkan kepada masyarakat dan memuat kinerja ekonomi, keuangan, sosial, serta lingkungan hidup sebuah perusahaan dalam menjalankan bisnis berkelanjutan. Otoritas Jasa Keuangan (OJK) mewajibkannya lewat POJK Nomor 51/POJK.03/2017 bagi lembaga jasa keuangan, emiten, dan perusahaan publik, dengan sembilan komponen isi minimum.</w:t>
      </w:r>
    </w:p>
    <w:bookmarkStart w:id="18" w:name="Xdaf4e2851d7373fbbdd511efdcf6fa0c3db4f58"/>
    <w:p>
      <w:pPr>
        <w:pStyle w:val="Heading2"/>
      </w:pPr>
      <w:r>
        <w:t xml:space="preserve">Siapa yang Wajib Menyusun Laporan Keberlanjutan?</w:t>
      </w:r>
    </w:p>
    <w:p>
      <w:pPr>
        <w:pStyle w:val="FirstParagraph"/>
      </w:pPr>
      <w:hyperlink r:id="rId17">
        <w:r>
          <w:rPr>
            <w:rStyle w:val="Hyperlink"/>
          </w:rPr>
          <w:t xml:space="preserve">POJK 51</w:t>
        </w:r>
      </w:hyperlink>
      <w:r>
        <w:t xml:space="preserve"> </w:t>
      </w:r>
      <w:r>
        <w:t xml:space="preserve">Pasal 10 ayat (1) mewajibkan tiga kelompok: lembaga jasa keuangan (LJK), emiten, dan perusahaan publik. Yang sering luput dibaca, kewajiban itu tidak berlaku serentak. Pasal 10 ayat (6) mengatur kapan tiap kategori entitas mulai wajib, dari tahun buku 2019 sampai tahun buku 2025.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Kategori entitas</w:t>
            </w:r>
          </w:p>
        </w:tc>
        <w:tc>
          <w:tcPr/>
          <w:p>
            <w:pPr>
              <w:pStyle w:val="Compact"/>
            </w:pPr>
            <w:r>
              <w:t xml:space="preserve">Laporan pertama (tahun buku)</w:t>
            </w:r>
          </w:p>
        </w:tc>
        <w:tc>
          <w:tcPr/>
          <w:p>
            <w:pPr>
              <w:pStyle w:val="Compact"/>
            </w:pPr>
            <w:r>
              <w:t xml:space="preserve">Disampaikan paling lambat*</w:t>
            </w:r>
          </w:p>
        </w:tc>
      </w:tr>
      <w:tr>
        <w:tc>
          <w:tcPr/>
          <w:p>
            <w:pPr>
              <w:pStyle w:val="Compact"/>
            </w:pPr>
            <w:r>
              <w:t xml:space="preserve">Bank umum BUKU 3, BUKU 4, dan bank asing</w:t>
            </w:r>
          </w:p>
        </w:tc>
        <w:tc>
          <w:tcPr/>
          <w:p>
            <w:pPr>
              <w:pStyle w:val="Compact"/>
            </w:pPr>
            <w:r>
              <w:t xml:space="preserve">2019</w:t>
            </w:r>
          </w:p>
        </w:tc>
        <w:tc>
          <w:tcPr/>
          <w:p>
            <w:pPr>
              <w:pStyle w:val="Compact"/>
            </w:pPr>
            <w:r>
              <w:t xml:space="preserve">30 April 2020</w:t>
            </w:r>
          </w:p>
        </w:tc>
      </w:tr>
      <w:tr>
        <w:tc>
          <w:tcPr/>
          <w:p>
            <w:pPr>
              <w:pStyle w:val="Compact"/>
            </w:pPr>
            <w:r>
              <w:rPr>
                <w:b/>
                <w:bCs/>
              </w:rPr>
              <w:t xml:space="preserve">Emiten selain aset skala kecil dan menengah; perusahaan publik</w:t>
            </w:r>
            <w:r>
              <w:t xml:space="preserve">; bank umum BUKU 1 dan BUKU 2; perusahaan pembiayaan; asuransi; LJK lainnya</w:t>
            </w:r>
          </w:p>
        </w:tc>
        <w:tc>
          <w:tcPr/>
          <w:p>
            <w:pPr>
              <w:pStyle w:val="Compact"/>
            </w:pPr>
            <w:r>
              <w:t xml:space="preserve">2020</w:t>
            </w:r>
          </w:p>
        </w:tc>
        <w:tc>
          <w:tcPr/>
          <w:p>
            <w:pPr>
              <w:pStyle w:val="Compact"/>
            </w:pPr>
            <w:r>
              <w:t xml:space="preserve">30 April 2021</w:t>
            </w:r>
          </w:p>
        </w:tc>
      </w:tr>
      <w:tr>
        <w:tc>
          <w:tcPr/>
          <w:p>
            <w:pPr>
              <w:pStyle w:val="Compact"/>
            </w:pPr>
            <w:r>
              <w:t xml:space="preserve">Emiten aset skala menengah; BPRKU 3; perusahaan efek yang mengadministrasikan rekening efek nasabah</w:t>
            </w:r>
          </w:p>
        </w:tc>
        <w:tc>
          <w:tcPr/>
          <w:p>
            <w:pPr>
              <w:pStyle w:val="Compact"/>
            </w:pPr>
            <w:r>
              <w:t xml:space="preserve">2022</w:t>
            </w:r>
          </w:p>
        </w:tc>
        <w:tc>
          <w:tcPr/>
          <w:p>
            <w:pPr>
              <w:pStyle w:val="Compact"/>
            </w:pPr>
            <w:r>
              <w:t xml:space="preserve">30 April 2023</w:t>
            </w:r>
          </w:p>
        </w:tc>
      </w:tr>
      <w:tr>
        <w:tc>
          <w:tcPr/>
          <w:p>
            <w:pPr>
              <w:pStyle w:val="Compact"/>
            </w:pPr>
            <w:r>
              <w:t xml:space="preserve">Emiten aset skala kecil; BPRKU 1 dan BPRKU 2; perusahaan efek lainnya; pergadaian; penjaminan</w:t>
            </w:r>
          </w:p>
        </w:tc>
        <w:tc>
          <w:tcPr/>
          <w:p>
            <w:pPr>
              <w:pStyle w:val="Compact"/>
            </w:pPr>
            <w:r>
              <w:t xml:space="preserve">2024</w:t>
            </w:r>
          </w:p>
        </w:tc>
        <w:tc>
          <w:tcPr/>
          <w:p>
            <w:pPr>
              <w:pStyle w:val="Compact"/>
            </w:pPr>
            <w:r>
              <w:t xml:space="preserve">30 April 2025</w:t>
            </w:r>
          </w:p>
        </w:tc>
      </w:tr>
      <w:tr>
        <w:tc>
          <w:tcPr/>
          <w:p>
            <w:pPr>
              <w:pStyle w:val="Compact"/>
            </w:pPr>
            <w:r>
              <w:rPr>
                <w:b/>
                <w:bCs/>
              </w:rPr>
              <w:t xml:space="preserve">Dana pensiun beraset paling sedikit Rp1 triliun</w:t>
            </w:r>
          </w:p>
        </w:tc>
        <w:tc>
          <w:tcPr/>
          <w:p>
            <w:pPr>
              <w:pStyle w:val="Compact"/>
            </w:pPr>
            <w:r>
              <w:t xml:space="preserve">2025</w:t>
            </w:r>
          </w:p>
        </w:tc>
        <w:tc>
          <w:tcPr/>
          <w:p>
            <w:pPr>
              <w:pStyle w:val="Compact"/>
            </w:pPr>
            <w:r>
              <w:t xml:space="preserve">30 April 2026</w:t>
            </w:r>
          </w:p>
        </w:tc>
      </w:tr>
    </w:tbl>
    <w:p>
      <w:pPr>
        <w:pStyle w:val="BodyText"/>
      </w:pPr>
      <w:r>
        <w:t xml:space="preserve">* Berlaku bila laporan disusun terpisah dari laporan tahunan (Pasal 10 ayat 4). Bila menyatu, tenggatnya mengikuti batas waktu laporan tahunan tiap entitas (Pasal 10 ayat 3). Istilah BUKU dari POJK 51; klasifikasi bank umum kini memakai KBMI.</w:t>
      </w:r>
    </w:p>
    <w:p>
      <w:pPr>
        <w:pStyle w:val="BodyText"/>
      </w:pPr>
      <w:r>
        <w:t xml:space="preserve">Baris 2020 paling sering salah dikutip: emiten pada umumnya dan perusahaan publik masuk sejak tahun buku itu, bukan 2022, yang hanya berlaku bagi emiten aset skala menengah. Batasan perusahaan publik ada di Pasal 1 angka 7: paling sedikit 300 pemegang saham dan modal disetor paling sedikit Rp3 miliar.</w:t>
      </w:r>
    </w:p>
    <w:p>
      <w:pPr>
        <w:pStyle w:val="BodyText"/>
      </w:pPr>
      <w:r>
        <w:t xml:space="preserve">Perusahaan di luar ketiga kelompok itu tidak wajib menurut POJK 51, meski makin sering dimintai datanya oleh bank pemberi kredit dan pelanggan korporatnya.</w:t>
      </w:r>
    </w:p>
    <w:bookmarkEnd w:id="18"/>
    <w:bookmarkStart w:id="20" w:name="X5ec4b1a6d352caf9732bf82ac1adc1ca6f4e7f8"/>
    <w:p>
      <w:pPr>
        <w:pStyle w:val="Heading2"/>
      </w:pPr>
      <w:r>
        <w:t xml:space="preserve">Apa Saja Isi Laporan Keberlanjutan Menurut POJK 51?</w:t>
      </w:r>
    </w:p>
    <w:p>
      <w:pPr>
        <w:pStyle w:val="FirstParagraph"/>
      </w:pPr>
      <w:r>
        <w:t xml:space="preserve">Lampiran II POJK 51 menetapkan sembilan komponen isi minimum. Yang kerap salah dipahami, kesembilan komponen itu berlaku pada kedua format. Laporan boleh disusun terpisah atau menjadi bagian laporan tahunan (Pasal 10 ayat 2), dan Lampiran II angka 3 tetap menuntut informasi yang sama. Yang berbeda hanya tenggatnya.</w:t>
      </w:r>
    </w:p>
    <w:p>
      <w:pPr>
        <w:pStyle w:val="Compact"/>
        <w:numPr>
          <w:ilvl w:val="0"/>
          <w:numId w:val="1001"/>
        </w:numPr>
      </w:pPr>
      <w:r>
        <w:rPr>
          <w:b/>
          <w:bCs/>
        </w:rPr>
        <w:t xml:space="preserve">Penjelasan strategi keberlanjutan</w:t>
      </w:r>
    </w:p>
    <w:p>
      <w:pPr>
        <w:pStyle w:val="Compact"/>
        <w:numPr>
          <w:ilvl w:val="0"/>
          <w:numId w:val="1001"/>
        </w:numPr>
      </w:pPr>
      <w:r>
        <w:rPr>
          <w:b/>
          <w:bCs/>
        </w:rPr>
        <w:t xml:space="preserve">Ikhtisar aspek keberlanjutan</w:t>
      </w:r>
      <w:r>
        <w:t xml:space="preserve"> </w:t>
      </w:r>
      <w:r>
        <w:t xml:space="preserve">(ekonomi, sosial, dan lingkungan hidup)</w:t>
      </w:r>
    </w:p>
    <w:p>
      <w:pPr>
        <w:pStyle w:val="Compact"/>
        <w:numPr>
          <w:ilvl w:val="0"/>
          <w:numId w:val="1001"/>
        </w:numPr>
      </w:pPr>
      <w:r>
        <w:rPr>
          <w:b/>
          <w:bCs/>
        </w:rPr>
        <w:t xml:space="preserve">Profil singkat</w:t>
      </w:r>
      <w:r>
        <w:t xml:space="preserve"> </w:t>
      </w:r>
      <w:r>
        <w:t xml:space="preserve">LJK, emiten, dan perusahaan publik</w:t>
      </w:r>
    </w:p>
    <w:p>
      <w:pPr>
        <w:pStyle w:val="Compact"/>
        <w:numPr>
          <w:ilvl w:val="0"/>
          <w:numId w:val="1001"/>
        </w:numPr>
      </w:pPr>
      <w:r>
        <w:rPr>
          <w:b/>
          <w:bCs/>
        </w:rPr>
        <w:t xml:space="preserve">Penjelasan Direksi</w:t>
      </w:r>
    </w:p>
    <w:p>
      <w:pPr>
        <w:pStyle w:val="Compact"/>
        <w:numPr>
          <w:ilvl w:val="0"/>
          <w:numId w:val="1001"/>
        </w:numPr>
      </w:pPr>
      <w:r>
        <w:rPr>
          <w:b/>
          <w:bCs/>
        </w:rPr>
        <w:t xml:space="preserve">Tata kelola keberlanjutan</w:t>
      </w:r>
    </w:p>
    <w:p>
      <w:pPr>
        <w:pStyle w:val="Compact"/>
        <w:numPr>
          <w:ilvl w:val="0"/>
          <w:numId w:val="1001"/>
        </w:numPr>
      </w:pPr>
      <w:r>
        <w:rPr>
          <w:b/>
          <w:bCs/>
        </w:rPr>
        <w:t xml:space="preserve">Kinerja keberlanjutan</w:t>
      </w:r>
    </w:p>
    <w:p>
      <w:pPr>
        <w:pStyle w:val="Compact"/>
        <w:numPr>
          <w:ilvl w:val="0"/>
          <w:numId w:val="1001"/>
        </w:numPr>
      </w:pPr>
      <w:r>
        <w:rPr>
          <w:b/>
          <w:bCs/>
        </w:rPr>
        <w:t xml:space="preserve">Verifikasi tertulis dari pihak independen</w:t>
      </w:r>
      <w:r>
        <w:t xml:space="preserve">, jika ada</w:t>
      </w:r>
    </w:p>
    <w:p>
      <w:pPr>
        <w:pStyle w:val="Compact"/>
        <w:numPr>
          <w:ilvl w:val="0"/>
          <w:numId w:val="1001"/>
        </w:numPr>
      </w:pPr>
      <w:r>
        <w:rPr>
          <w:b/>
          <w:bCs/>
        </w:rPr>
        <w:t xml:space="preserve">Lembar umpan balik</w:t>
      </w:r>
      <w:r>
        <w:t xml:space="preserve"> </w:t>
      </w:r>
      <w:r>
        <w:t xml:space="preserve">(</w:t>
      </w:r>
      <w:r>
        <w:rPr>
          <w:i/>
          <w:iCs/>
        </w:rPr>
        <w:t xml:space="preserve">feedback</w:t>
      </w:r>
      <w:r>
        <w:t xml:space="preserve">) untuk pembaca, jika ada</w:t>
      </w:r>
    </w:p>
    <w:p>
      <w:pPr>
        <w:pStyle w:val="Compact"/>
        <w:numPr>
          <w:ilvl w:val="0"/>
          <w:numId w:val="1001"/>
        </w:numPr>
      </w:pPr>
      <w:r>
        <w:rPr>
          <w:b/>
          <w:bCs/>
        </w:rPr>
        <w:t xml:space="preserve">Tanggapan</w:t>
      </w:r>
      <w:r>
        <w:t xml:space="preserve"> </w:t>
      </w:r>
      <w:r>
        <w:t xml:space="preserve">atas umpan balik laporan tahun sebelumnya</w:t>
      </w:r>
    </w:p>
    <w:p>
      <w:pPr>
        <w:pStyle w:val="FirstParagraph"/>
      </w:pPr>
      <w:r>
        <w:t xml:space="preserve">Kata</w:t>
      </w:r>
      <w:r>
        <w:t xml:space="preserve"> </w:t>
      </w:r>
      <w:r>
        <w:t xml:space="preserve">“jika ada”</w:t>
      </w:r>
      <w:r>
        <w:t xml:space="preserve"> </w:t>
      </w:r>
      <w:r>
        <w:t xml:space="preserve">pada komponen 7 penting: verifikasi independen bersifat kondisional. Komponen 6 yang paling menguras waktu, sebab Lampiran II mewajibkannya disajikan komparatif untuk tiga tahun terakhir, dari konsumsi energi sampai laba rugi. Riwayat sepanjang itu jarang rapi di satu tempat, dan di sinilah perusahaan mempertimbangkan</w:t>
      </w:r>
      <w:r>
        <w:t xml:space="preserve"> </w:t>
      </w:r>
      <w:hyperlink r:id="rId19">
        <w:r>
          <w:rPr>
            <w:rStyle w:val="Hyperlink"/>
          </w:rPr>
          <w:t xml:space="preserve">dasbor terpusat data ESG</w:t>
        </w:r>
      </w:hyperlink>
      <w:r>
        <w:t xml:space="preserve"> </w:t>
      </w:r>
      <w:r>
        <w:t xml:space="preserve">seperti SAP Sustainability Control Tower untuk menghimpun dan mengonsolidasikannya. Pemetaannya ke format POJK 51 tetap pekerjaan tim pelaporan.</w:t>
      </w:r>
    </w:p>
    <w:bookmarkEnd w:id="20"/>
    <w:bookmarkStart w:id="21" w:name="Xbce446713e5da5b5ded4247c67417a10192ab76"/>
    <w:p>
      <w:pPr>
        <w:pStyle w:val="Heading2"/>
      </w:pPr>
      <w:r>
        <w:t xml:space="preserve">Kapan Tenggatnya dan Apa Sanksi jika Terlambat?</w:t>
      </w:r>
    </w:p>
    <w:p>
      <w:pPr>
        <w:pStyle w:val="FirstParagraph"/>
      </w:pPr>
      <w:r>
        <w:t xml:space="preserve">Bila disusun terpisah dari laporan tahunan, laporan wajib sampai ke OJK paling lambat 30 April tahun berikutnya (Pasal 10 ayat 4). Sanksinya administratif, dan hanya ada satu jenis: teguran atau peringatan tertulis (Pasal 13). Kata</w:t>
      </w:r>
      <w:r>
        <w:t xml:space="preserve"> </w:t>
      </w:r>
      <w:r>
        <w:t xml:space="preserve">“denda”</w:t>
      </w:r>
      <w:r>
        <w:t xml:space="preserve"> </w:t>
      </w:r>
      <w:r>
        <w:t xml:space="preserve">tidak muncul sama sekali di salinan POJK 51.</w:t>
      </w:r>
    </w:p>
    <w:p>
      <w:pPr>
        <w:pStyle w:val="BodyText"/>
      </w:pPr>
      <w:r>
        <w:t xml:space="preserve">Klaim</w:t>
      </w:r>
      <w:r>
        <w:t xml:space="preserve"> </w:t>
      </w:r>
      <w:r>
        <w:t xml:space="preserve">“denda hingga Rp1 miliar”</w:t>
      </w:r>
      <w:r>
        <w:t xml:space="preserve"> </w:t>
      </w:r>
      <w:r>
        <w:t xml:space="preserve">yang beredar di sejumlah artikel karena itu tidak berdasar. Kewajibannya pun tidak berhenti di regulator: Pasal 12 menuntut laporan dipublikasikan lewat situs web perusahaan, juga paling lambat 30 April.</w:t>
      </w:r>
    </w:p>
    <w:p>
      <w:pPr>
        <w:pStyle w:val="BodyText"/>
      </w:pPr>
      <w:r>
        <w:t xml:space="preserve">Sanksi ringan bukan berarti risiko ringan. Dokumen ini terbuka untuk umum, dan tekanan investor serta pemberi kredit biasanya lebih menggigit daripada surat teguran.</w:t>
      </w:r>
    </w:p>
    <w:bookmarkEnd w:id="21"/>
    <w:bookmarkStart w:id="24" w:name="Xb2a53f953e9408aa6b228b07fea54596d9acc52"/>
    <w:p>
      <w:pPr>
        <w:pStyle w:val="Heading2"/>
      </w:pPr>
      <w:r>
        <w:t xml:space="preserve">RAKB Bukan Hal yang Sama, dan Arah Baru POJK 51</w:t>
      </w:r>
    </w:p>
    <w:p>
      <w:pPr>
        <w:pStyle w:val="FirstParagraph"/>
      </w:pPr>
      <w:r>
        <w:t xml:space="preserve">Rencana Aksi Keuangan Berkelanjutan (RAKB) adalah dokumen berbeda. RAKB menggambarkan rencana kegiatan usaha jangka pendek satu tahun dan jangka panjang lima tahun, wajib bagi LJK saja, dan bertenggat 31 Januari bila LJK tidak wajib menyampaikan rencana bisnis (Pasal 4). Laporan keberlanjutan melaporkan kinerja yang sudah terjadi, tenggat 30 April.</w:t>
      </w:r>
    </w:p>
    <w:p>
      <w:pPr>
        <w:pStyle w:val="BodyText"/>
      </w:pPr>
      <w:r>
        <w:t xml:space="preserve">Satu rencana ke depan, satu pelaporan ke belakang.</w:t>
      </w:r>
    </w:p>
    <w:p>
      <w:pPr>
        <w:pStyle w:val="BodyText"/>
      </w:pPr>
      <w:r>
        <w:t xml:space="preserve">Hingga saat ini POJK 51 masih berlaku. OJK sedang menyiapkan revisinya lewat</w:t>
      </w:r>
      <w:r>
        <w:t xml:space="preserve"> </w:t>
      </w:r>
      <w:hyperlink r:id="rId22">
        <w:r>
          <w:rPr>
            <w:rStyle w:val="Hyperlink"/>
          </w:rPr>
          <w:t xml:space="preserve">rancangan POJK</w:t>
        </w:r>
      </w:hyperlink>
      <w:r>
        <w:t xml:space="preserve"> </w:t>
      </w:r>
      <w:r>
        <w:t xml:space="preserve">yang mengarahkan penyusunan laporan pada standar pengungkapan keberlanjutan; statusnya masih rancangan, dan masa tanggapan publik ditutup 13 Maret 2026.</w:t>
      </w:r>
    </w:p>
    <w:p>
      <w:pPr>
        <w:pStyle w:val="BodyText"/>
      </w:pPr>
      <w:r>
        <w:t xml:space="preserve">Kewajiban komparatif tiga tahun saja menuntut riwayat data yang tertelusur ke sistem operasional, bukan rekap spreadsheet menjelang tenggat. Standar yang makin ketat menaikkan tuntutan itu, dan di situlah sebagian perusahaan menata</w:t>
      </w:r>
      <w:r>
        <w:t xml:space="preserve"> </w:t>
      </w:r>
      <w:hyperlink r:id="rId23">
        <w:r>
          <w:rPr>
            <w:rStyle w:val="Hyperlink"/>
          </w:rPr>
          <w:t xml:space="preserve">solusi keberlanjutan berbasis SAP</w:t>
        </w:r>
      </w:hyperlink>
      <w:r>
        <w:t xml:space="preserve"> </w:t>
      </w:r>
      <w:r>
        <w:t xml:space="preserve">lebih awal.</w:t>
      </w:r>
    </w:p>
    <w:bookmarkEnd w:id="24"/>
    <w:bookmarkStart w:id="28" w:name="faq-pertanyaan-yang-sering-diajukan"/>
    <w:p>
      <w:pPr>
        <w:pStyle w:val="Heading2"/>
      </w:pPr>
      <w:r>
        <w:t xml:space="preserve">FAQ (Pertanyaan yang Sering Diajukan)</w:t>
      </w:r>
    </w:p>
    <w:bookmarkStart w:id="25" w:name="X4126dc1eebb331807a3f8866d839fc8532d59fc"/>
    <w:p>
      <w:pPr>
        <w:pStyle w:val="Heading3"/>
      </w:pPr>
      <w:r>
        <w:t xml:space="preserve">Kapan batas waktu penyampaian laporan keberlanjutan ke OJK?</w:t>
      </w:r>
    </w:p>
    <w:p>
      <w:pPr>
        <w:pStyle w:val="FirstParagraph"/>
      </w:pPr>
      <w:r>
        <w:t xml:space="preserve">Bila disusun terpisah dari laporan tahunan, laporan wajib disampaikan ke OJK paling lambat 30 April tahun berikutnya (POJK 51 Pasal 10 ayat 4). Bila menyatu, tenggatnya mengikuti batas waktu laporan tahunan tiap entitas. Publikasi ke situs web juga 30 April.</w:t>
      </w:r>
    </w:p>
    <w:bookmarkEnd w:id="25"/>
    <w:bookmarkStart w:id="26" w:name="Xfee2e8e44f66efae93d45d83269caf1b47b67ca"/>
    <w:p>
      <w:pPr>
        <w:pStyle w:val="Heading3"/>
      </w:pPr>
      <w:r>
        <w:t xml:space="preserve">Apa perbedaan laporan keberlanjutan dan laporan tahunan?</w:t>
      </w:r>
    </w:p>
    <w:p>
      <w:pPr>
        <w:pStyle w:val="FirstParagraph"/>
      </w:pPr>
      <w:r>
        <w:t xml:space="preserve">Laporan tahunan berfokus pada kinerja keuangan dan strategi bisnis; laporan keberlanjutan memuat kinerja ekonomi, keuangan, sosial, dan lingkungan hidup. POJK 51 membolehkan keduanya dipisah atau digabung. Sembilan komponen minimumnya berlaku pada kedua format; yang berbeda hanya tenggatnya.</w:t>
      </w:r>
    </w:p>
    <w:bookmarkEnd w:id="26"/>
    <w:bookmarkStart w:id="27" w:name="X6315ae5f91086059b9d7fa1d1a40037ea05e6f3"/>
    <w:p>
      <w:pPr>
        <w:pStyle w:val="Heading3"/>
      </w:pPr>
      <w:r>
        <w:t xml:space="preserve">Apa itu RAKB dan apa bedanya dengan laporan keberlanjutan?</w:t>
      </w:r>
    </w:p>
    <w:p>
      <w:pPr>
        <w:pStyle w:val="FirstParagraph"/>
      </w:pPr>
      <w:r>
        <w:t xml:space="preserve">RAKB adalah dokumen rencana kegiatan usaha jangka pendek satu tahun dan jangka panjang lima tahun. RAKB wajib bagi lembaga jasa keuangan dan bertenggat 31 Januari bila LJK tidak wajib menyampaikan rencana bisnis. Laporan keberlanjutan melaporkan kinerja yang sudah terjadi.</w:t>
      </w:r>
    </w:p>
    <w:bookmarkEnd w:id="27"/>
    <w:bookmarkEnd w:id="28"/>
    <w:bookmarkStart w:id="29" w:name="kesimpulan"/>
    <w:p>
      <w:pPr>
        <w:pStyle w:val="Heading2"/>
      </w:pPr>
      <w:r>
        <w:t xml:space="preserve">Kesimpulan</w:t>
      </w:r>
    </w:p>
    <w:p>
      <w:pPr>
        <w:pStyle w:val="FirstParagraph"/>
      </w:pPr>
      <w:r>
        <w:t xml:space="preserve">POJK 51 mengubah laporan keberlanjutan dari inisiatif sukarela menjadi kewajiban dengan kategori, isi, dan tenggat yang pasti. Hambatan terbesarnya jarang filosofis; lebih sering soal ketertelusuran data. Sebagai SAP Platinum Partner melalui United VARs, Soltius mengimplementasikan dan mendampingi solusi SAP Sustainability agar angka di laporan tertelusur ke sistem, bukan hasil rekap manual.</w:t>
      </w:r>
    </w:p>
    <w:p>
      <w:pPr>
        <w:pStyle w:val="BodyText"/>
      </w:pPr>
      <w:r>
        <w:t xml:space="preserve">Untuk mendiskusikan kesiapan data keberlanjutan di perusahaan Anda,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ojk.go.id/id/regulasi/otoritas-jasa-keuangan/rancangan-regulasi/Pages/RPOJK-SF.aspx" TargetMode="External" /><Relationship Type="http://schemas.openxmlformats.org/officeDocument/2006/relationships/hyperlink" Id="rId17" Target="https://www.ojk.go.id/sustainable-finance/id/peraturan/peraturan-ojk/Documents/SAL%20POJK%2051%20-%20keuangan%20berkelanjutan.pdf" TargetMode="External" /><Relationship Type="http://schemas.openxmlformats.org/officeDocument/2006/relationships/hyperlink" Id="rId19" Target="https://www.soltius.co.id/id/blog/apa-itu-sap-sustainability-control-tower-sct-dasbor-terpusat-untuk-data-esg" TargetMode="External" /><Relationship Type="http://schemas.openxmlformats.org/officeDocument/2006/relationships/hyperlink" Id="rId23" Target="https://www.soltius.co.id/id/solutions-by-products/sustainability" TargetMode="External" /></Relationships>
</file>

<file path=word/_rels/footnotes.xml.rels><?xml version="1.0" encoding="UTF-8"?><Relationships xmlns="http://schemas.openxmlformats.org/package/2006/relationships"><Relationship Type="http://schemas.openxmlformats.org/officeDocument/2006/relationships/hyperlink" Id="rId22" Target="https://ojk.go.id/id/regulasi/otoritas-jasa-keuangan/rancangan-regulasi/Pages/RPOJK-SF.aspx" TargetMode="External" /><Relationship Type="http://schemas.openxmlformats.org/officeDocument/2006/relationships/hyperlink" Id="rId17" Target="https://www.ojk.go.id/sustainable-finance/id/peraturan/peraturan-ojk/Documents/SAL%20POJK%2051%20-%20keuangan%20berkelanjutan.pdf" TargetMode="External" /><Relationship Type="http://schemas.openxmlformats.org/officeDocument/2006/relationships/hyperlink" Id="rId19" Target="https://www.soltius.co.id/id/blog/apa-itu-sap-sustainability-control-tower-sct-dasbor-terpusat-untuk-data-esg" TargetMode="External" /><Relationship Type="http://schemas.openxmlformats.org/officeDocument/2006/relationships/hyperlink" Id="rId23" Target="https://www.soltius.co.id/id/solutions-by-products/sustain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2026-07-17T17:24:53Z</dcterms:created>
  <dcterms:modified xsi:type="dcterms:W3CDTF">2026-07-17T17:24:53Z</dcterms:modified>
</cp:coreProperties>
</file>

<file path=docProps/custom.xml><?xml version="1.0" encoding="utf-8"?>
<Properties xmlns="http://schemas.openxmlformats.org/officeDocument/2006/custom-properties" xmlns:vt="http://schemas.openxmlformats.org/officeDocument/2006/docPropsVTypes"/>
</file>