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"PKWT vs PKWTT: Perbedaan, Aturan, dan Implikasinya bagi Perusahaan"</w:t>
      </w:r>
      <w:r>
        <w:br/>
      </w:r>
      <w:r>
        <w:rPr>
          <w:rStyle w:val="FunctionTok"/>
        </w:rPr>
        <w:t xml:space="preserve">meta_title</w:t>
      </w:r>
      <w:r>
        <w:rPr>
          <w:rStyle w:val="KeywordTok"/>
        </w:rPr>
        <w:t xml:space="preserve">:</w:t>
      </w:r>
      <w:r>
        <w:rPr>
          <w:rStyle w:val="AttributeTok"/>
        </w:rPr>
        <w:t xml:space="preserve"> </w:t>
      </w:r>
      <w:r>
        <w:rPr>
          <w:rStyle w:val="StringTok"/>
        </w:rPr>
        <w:t xml:space="preserve">"PKWT dan PKWTT: Perbedaan, Aturan, dan Implikasinya"</w:t>
      </w:r>
      <w:r>
        <w:br/>
      </w:r>
      <w:r>
        <w:rPr>
          <w:rStyle w:val="FunctionTok"/>
        </w:rPr>
        <w:t xml:space="preserve">meta_description</w:t>
      </w:r>
      <w:r>
        <w:rPr>
          <w:rStyle w:val="KeywordTok"/>
        </w:rPr>
        <w:t xml:space="preserve">:</w:t>
      </w:r>
      <w:r>
        <w:rPr>
          <w:rStyle w:val="AttributeTok"/>
        </w:rPr>
        <w:t xml:space="preserve"> </w:t>
      </w:r>
      <w:r>
        <w:rPr>
          <w:rStyle w:val="StringTok"/>
        </w:rPr>
        <w:t xml:space="preserve">"PKWT dan PKWTT berbeda pada jangka waktu, masa percobaan, dan uang kompensasi. Pahami aturan PP 35/2021, batas 5 tahun, dan kapan PKWT berubah jadi PKWTT."</w:t>
      </w:r>
      <w:r>
        <w:br/>
      </w:r>
      <w:r>
        <w:rPr>
          <w:rStyle w:val="FunctionTok"/>
        </w:rPr>
        <w:t xml:space="preserve">slug</w:t>
      </w:r>
      <w:r>
        <w:rPr>
          <w:rStyle w:val="KeywordTok"/>
        </w:rPr>
        <w:t xml:space="preserve">:</w:t>
      </w:r>
      <w:r>
        <w:rPr>
          <w:rStyle w:val="AttributeTok"/>
        </w:rPr>
        <w:t xml:space="preserve"> </w:t>
      </w:r>
      <w:r>
        <w:rPr>
          <w:rStyle w:val="StringTok"/>
        </w:rPr>
        <w:t xml:space="preserve">"pkwt-dan-pkwtt-perbedaan-aturan-implikasinya"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"pkwt dan pkwtt"</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pkwt dan pkwtt"</w:t>
      </w:r>
      <w:r>
        <w:rPr>
          <w:rStyle w:val="KeywordTok"/>
        </w:rPr>
        <w:t xml:space="preserve">,</w:t>
      </w:r>
      <w:r>
        <w:rPr>
          <w:rStyle w:val="AttributeTok"/>
        </w:rPr>
        <w:t xml:space="preserve"> </w:t>
      </w:r>
      <w:r>
        <w:rPr>
          <w:rStyle w:val="StringTok"/>
        </w:rPr>
        <w:t xml:space="preserve">"perjanjian kerja waktu tertentu (PKWT)"</w:t>
      </w:r>
      <w:r>
        <w:rPr>
          <w:rStyle w:val="KeywordTok"/>
        </w:rPr>
        <w:t xml:space="preserve">,</w:t>
      </w:r>
      <w:r>
        <w:rPr>
          <w:rStyle w:val="AttributeTok"/>
        </w:rPr>
        <w:t xml:space="preserve"> </w:t>
      </w:r>
      <w:r>
        <w:rPr>
          <w:rStyle w:val="StringTok"/>
        </w:rPr>
        <w:t xml:space="preserve">"perjanjian kerja waktu tidak tertentu (PKWTT)"</w:t>
      </w:r>
      <w:r>
        <w:rPr>
          <w:rStyle w:val="KeywordTok"/>
        </w:rPr>
        <w:t xml:space="preserve">,</w:t>
      </w:r>
      <w:r>
        <w:rPr>
          <w:rStyle w:val="AttributeTok"/>
        </w:rPr>
        <w:t xml:space="preserve"> </w:t>
      </w:r>
      <w:r>
        <w:rPr>
          <w:rStyle w:val="StringTok"/>
        </w:rPr>
        <w:t xml:space="preserve">"uang kompensasi PKWT"</w:t>
      </w:r>
      <w:r>
        <w:rPr>
          <w:rStyle w:val="KeywordTok"/>
        </w:rPr>
        <w:t xml:space="preserve">,</w:t>
      </w:r>
      <w:r>
        <w:rPr>
          <w:rStyle w:val="AttributeTok"/>
        </w:rPr>
        <w:t xml:space="preserve"> </w:t>
      </w:r>
      <w:r>
        <w:rPr>
          <w:rStyle w:val="StringTok"/>
        </w:rPr>
        <w:t xml:space="preserve">"PP Nomor 35 Tahun 2021"</w:t>
      </w:r>
      <w:r>
        <w:rPr>
          <w:rStyle w:val="KeywordTok"/>
        </w:rPr>
        <w:t xml:space="preserve">,</w:t>
      </w:r>
      <w:r>
        <w:rPr>
          <w:rStyle w:val="AttributeTok"/>
        </w:rPr>
        <w:t xml:space="preserve"> </w:t>
      </w:r>
      <w:r>
        <w:rPr>
          <w:rStyle w:val="StringTok"/>
        </w:rPr>
        <w:t xml:space="preserve">"UU Nomor 6 Tahun 2023 (Cipta Kerja)"</w:t>
      </w:r>
      <w:r>
        <w:rPr>
          <w:rStyle w:val="KeywordTok"/>
        </w:rPr>
        <w:t xml:space="preserve">,</w:t>
      </w:r>
      <w:r>
        <w:rPr>
          <w:rStyle w:val="AttributeTok"/>
        </w:rPr>
        <w:t xml:space="preserve"> </w:t>
      </w:r>
      <w:r>
        <w:rPr>
          <w:rStyle w:val="StringTok"/>
        </w:rPr>
        <w:t xml:space="preserve">"masa percobaan kerja"</w:t>
      </w:r>
      <w:r>
        <w:rPr>
          <w:rStyle w:val="KeywordTok"/>
        </w:rPr>
        <w:t xml:space="preserve">,</w:t>
      </w:r>
      <w:r>
        <w:rPr>
          <w:rStyle w:val="AttributeTok"/>
        </w:rPr>
        <w:t xml:space="preserve"> </w:t>
      </w:r>
      <w:r>
        <w:rPr>
          <w:rStyle w:val="StringTok"/>
        </w:rPr>
        <w:t xml:space="preserve">"pencatatan PKWT"</w:t>
      </w:r>
      <w:r>
        <w:rPr>
          <w:rStyle w:val="KeywordTok"/>
        </w:rPr>
        <w:t xml:space="preserve">,</w:t>
      </w:r>
      <w:r>
        <w:rPr>
          <w:rStyle w:val="AttributeTok"/>
        </w:rPr>
        <w:t xml:space="preserve"> </w:t>
      </w:r>
      <w:r>
        <w:rPr>
          <w:rStyle w:val="StringTok"/>
        </w:rPr>
        <w:t xml:space="preserve">"demi hukum menjadi PKWTT"</w:t>
      </w:r>
      <w:r>
        <w:rPr>
          <w:rStyle w:val="KeywordTok"/>
        </w:rPr>
        <w:t xml:space="preserve">,</w:t>
      </w:r>
      <w:r>
        <w:rPr>
          <w:rStyle w:val="AttributeTok"/>
        </w:rPr>
        <w:t xml:space="preserve"> </w:t>
      </w:r>
      <w:r>
        <w:rPr>
          <w:rStyle w:val="StringTok"/>
        </w:rPr>
        <w:t xml:space="preserve">"Human Capital Management (HCM)"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"https://www.soltius.co.id/solutions-by-products/human-capital-management-system"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Human Capital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"https://jdih.kemnaker.go.id/asset/data_puu/PP352021.pdf"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"Salinan resmi PP Nomor 35 Tahun 2021 (JDIH Kemnaker) — dasar Pasal 8 (batas 5 tahun), Pasal 10 (ambang 21 hari), Pasal 12 (masa percobaan), Pasal 14 (tenggat pencatatan), Pasal 15–16 (uang kompensasi)"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"https://jdih.kemnaker.go.id/asset/data_puu/2023UU06_Naker.pdf"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"Salinan resmi UU Nomor 6 Tahun 2023 kluster ketenagakerjaan (JDIH Kemnaker) — perubahan Pasal 57, 58, 59, dan sisipan Pasal 61A UU Nomor 13 Tahun 2003"</w:t>
      </w:r>
      <w:r>
        <w:br/>
      </w:r>
      <w:r>
        <w:rPr>
          <w:rStyle w:val="FunctionTok"/>
        </w:rPr>
        <w:t xml:space="preserve">brief_id</w:t>
      </w:r>
      <w:r>
        <w:rPr>
          <w:rStyle w:val="KeywordTok"/>
        </w:rPr>
        <w:t xml:space="preserve">:</w:t>
      </w:r>
      <w:r>
        <w:rPr>
          <w:rStyle w:val="AttributeTok"/>
        </w:rPr>
        <w:t xml:space="preserve"> </w:t>
      </w:r>
      <w:r>
        <w:rPr>
          <w:rStyle w:val="StringTok"/>
        </w:rPr>
        <w:t xml:space="preserve">"pkwt-pkwtt-c01"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986</w:t>
      </w:r>
    </w:p>
    <w:p>
      <w:r>
        <w:pict>
          <v:rect style="width:0;height:1.5pt" o:hralign="center" o:hrstd="t" o:hr="t"/>
        </w:pict>
      </w:r>
    </w:p>
    <w:bookmarkEnd w:id="16"/>
    <w:bookmarkStart w:id="30" w:name="X1db2c132dae2a7202e5388a11d8ab4e5921a043"/>
    <w:p>
      <w:pPr>
        <w:pStyle w:val="Heading1"/>
      </w:pPr>
      <w:r>
        <w:t xml:space="preserve">PKWT vs PKWTT: Perbedaan, Aturan, dan Implikasinya bagi Perusahaan</w:t>
      </w:r>
    </w:p>
    <w:p>
      <w:pPr>
        <w:pStyle w:val="FirstParagraph"/>
      </w:pPr>
      <w:r>
        <w:t xml:space="preserve">Seorang staf sudah diperpanjang tiga kali untuk pekerjaan yang jelas-jelas rutin, dan tidak ada yang bisa memastikan statusnya masih kontrak. Kekeliruan seperti ini jarang berhenti di teguran: statusnya bisa berubah demi hukum. Artikel ini menguraikan perbedaan PKWT dan PKWTT, cara menghitung uang kompensasi, dan implikasinya bagi perusahaan.</w:t>
      </w:r>
    </w:p>
    <w:p>
      <w:pPr>
        <w:pStyle w:val="BlockText"/>
      </w:pPr>
      <w:r>
        <w:rPr>
          <w:b/>
          <w:bCs/>
        </w:rPr>
        <w:t xml:space="preserve">Ringkasnya:</w:t>
      </w:r>
      <w:r>
        <w:t xml:space="preserve"> </w:t>
      </w:r>
      <w:r>
        <w:t xml:space="preserve">PKWT (perjanjian kerja waktu tertentu) adalah kontrak kerja yang dibatasi jangka waktu atau selesainya suatu pekerjaan tertentu, sedangkan PKWTT (perjanjian kerja waktu tidak tertentu) adalah hubungan kerja tanpa batas waktu — status yang umum disebut karyawan tetap. Keduanya diatur UU Nomor 13 Tahun 2003 beserta perubahannya dan PP Nomor 35 Tahun 2021.</w:t>
      </w:r>
    </w:p>
    <w:bookmarkStart w:id="18" w:name="Xef5a39cc330ec82995a2e9c1ea80676686b714b"/>
    <w:p>
      <w:pPr>
        <w:pStyle w:val="Heading2"/>
      </w:pPr>
      <w:r>
        <w:t xml:space="preserve">Apa Perbedaan PKWT dan PKWTT Menurut Aturan yang Berlaku?</w:t>
      </w:r>
    </w:p>
    <w:p>
      <w:pPr>
        <w:pStyle w:val="FirstParagraph"/>
      </w:pPr>
      <w:r>
        <w:t xml:space="preserve">Perbedaannya tidak berhenti pada durasi. Tiap status membawa paket kewajiban berbeda: bentuk perjanjian, masa percobaan, pencatatan, dan skema uang di akhir hubungan kerja. Kerangkanya sama, yaitu UU Nomor 13 Tahun 2003 tentang Ketenagakerjaan sebagaimana diubah UU Nomor 6 Tahun 2023 (Cipta Kerja) dengan aturan pelaksana</w:t>
      </w:r>
      <w:r>
        <w:t xml:space="preserve"> </w:t>
      </w:r>
      <w:hyperlink r:id="rId17">
        <w:r>
          <w:rPr>
            <w:rStyle w:val="Hyperlink"/>
          </w:rPr>
          <w:t xml:space="preserve">PP Nomor 35 Tahun 2021</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PKWT</w:t>
            </w:r>
          </w:p>
        </w:tc>
        <w:tc>
          <w:tcPr/>
          <w:p>
            <w:pPr>
              <w:pStyle w:val="Compact"/>
            </w:pPr>
            <w:r>
              <w:t xml:space="preserve">PKWTT</w:t>
            </w:r>
          </w:p>
        </w:tc>
      </w:tr>
      <w:tr>
        <w:tc>
          <w:tcPr/>
          <w:p>
            <w:pPr>
              <w:pStyle w:val="Compact"/>
            </w:pPr>
            <w:r>
              <w:t xml:space="preserve">Jangka waktu</w:t>
            </w:r>
          </w:p>
        </w:tc>
        <w:tc>
          <w:tcPr/>
          <w:p>
            <w:pPr>
              <w:pStyle w:val="Compact"/>
            </w:pPr>
            <w:r>
              <w:t xml:space="preserve">Berdasarkan jangka waktu: paling lama 5 tahun, termasuk perpanjangan (PP Pasal 8)</w:t>
            </w:r>
          </w:p>
        </w:tc>
        <w:tc>
          <w:tcPr/>
          <w:p>
            <w:pPr>
              <w:pStyle w:val="Compact"/>
            </w:pPr>
            <w:r>
              <w:t xml:space="preserve">Tanpa batas waktu</w:t>
            </w:r>
          </w:p>
        </w:tc>
      </w:tr>
      <w:tr>
        <w:tc>
          <w:tcPr/>
          <w:p>
            <w:pPr>
              <w:pStyle w:val="Compact"/>
            </w:pPr>
            <w:r>
              <w:t xml:space="preserve">Dasar pekerjaan</w:t>
            </w:r>
          </w:p>
        </w:tc>
        <w:tc>
          <w:tcPr/>
          <w:p>
            <w:pPr>
              <w:pStyle w:val="Compact"/>
            </w:pPr>
            <w:r>
              <w:t xml:space="preserve">Hanya pekerjaan tertentu yang selesai dalam waktu tertentu; tidak untuk pekerjaan tetap (UU Pasal 59)</w:t>
            </w:r>
          </w:p>
        </w:tc>
        <w:tc>
          <w:tcPr/>
          <w:p>
            <w:pPr>
              <w:pStyle w:val="Compact"/>
            </w:pPr>
            <w:r>
              <w:t xml:space="preserve">Termasuk pekerjaan tetap</w:t>
            </w:r>
          </w:p>
        </w:tc>
      </w:tr>
      <w:tr>
        <w:tc>
          <w:tcPr/>
          <w:p>
            <w:pPr>
              <w:pStyle w:val="Compact"/>
            </w:pPr>
            <w:r>
              <w:t xml:space="preserve">Bentuk perjanjian</w:t>
            </w:r>
          </w:p>
        </w:tc>
        <w:tc>
          <w:tcPr/>
          <w:p>
            <w:pPr>
              <w:pStyle w:val="Compact"/>
            </w:pPr>
            <w:r>
              <w:t xml:space="preserve">Wajib tertulis, bahasa Indonesia, huruf latin (UU Pasal 57)</w:t>
            </w:r>
          </w:p>
        </w:tc>
        <w:tc>
          <w:tcPr/>
          <w:p>
            <w:pPr>
              <w:pStyle w:val="Compact"/>
            </w:pPr>
            <w:r>
              <w:t xml:space="preserve">Boleh tertulis atau lisan; bila lisan, wajib ada surat pengangkatan (UU Pasal 63)</w:t>
            </w:r>
          </w:p>
        </w:tc>
      </w:tr>
      <w:tr>
        <w:tc>
          <w:tcPr/>
          <w:p>
            <w:pPr>
              <w:pStyle w:val="Compact"/>
            </w:pPr>
            <w:r>
              <w:t xml:space="preserve">Masa percobaan</w:t>
            </w:r>
          </w:p>
        </w:tc>
        <w:tc>
          <w:tcPr/>
          <w:p>
            <w:pPr>
              <w:pStyle w:val="Compact"/>
            </w:pPr>
            <w:r>
              <w:t xml:space="preserve">Tidak dapat disyaratkan; bila ada, batal demi hukum (PP Pasal 12)</w:t>
            </w:r>
          </w:p>
        </w:tc>
        <w:tc>
          <w:tcPr/>
          <w:p>
            <w:pPr>
              <w:pStyle w:val="Compact"/>
            </w:pPr>
            <w:r>
              <w:t xml:space="preserve">Boleh, paling lama 3 bulan, upah tidak di bawah upah minimum (UU Pasal 60)</w:t>
            </w:r>
          </w:p>
        </w:tc>
      </w:tr>
      <w:tr>
        <w:tc>
          <w:tcPr/>
          <w:p>
            <w:pPr>
              <w:pStyle w:val="Compact"/>
            </w:pPr>
            <w:r>
              <w:t xml:space="preserve">Pencatatan</w:t>
            </w:r>
          </w:p>
        </w:tc>
        <w:tc>
          <w:tcPr/>
          <w:p>
            <w:pPr>
              <w:pStyle w:val="Compact"/>
            </w:pPr>
            <w:r>
              <w:t xml:space="preserve">Wajib: 3 hari kerja daring; bila kanal daring belum tersedia, 7 hari kerja tertulis di dinas kab/kota (PP Pasal 14)</w:t>
            </w:r>
          </w:p>
        </w:tc>
        <w:tc>
          <w:tcPr/>
          <w:p>
            <w:pPr>
              <w:pStyle w:val="Compact"/>
            </w:pPr>
            <w:r>
              <w:t xml:space="preserve">Tidak diatur dalam PP 35/2021</w:t>
            </w:r>
          </w:p>
        </w:tc>
      </w:tr>
      <w:tr>
        <w:tc>
          <w:tcPr/>
          <w:p>
            <w:pPr>
              <w:pStyle w:val="Compact"/>
            </w:pPr>
            <w:r>
              <w:t xml:space="preserve">Uang di akhir</w:t>
            </w:r>
          </w:p>
        </w:tc>
        <w:tc>
          <w:tcPr/>
          <w:p>
            <w:pPr>
              <w:pStyle w:val="Compact"/>
            </w:pPr>
            <w:r>
              <w:t xml:space="preserve">Uang kompensasi (UU Pasal 61A; PP Pasal 15–16)</w:t>
            </w:r>
          </w:p>
        </w:tc>
        <w:tc>
          <w:tcPr/>
          <w:p>
            <w:pPr>
              <w:pStyle w:val="Compact"/>
            </w:pPr>
            <w:r>
              <w:t xml:space="preserve">Pesangon dan/atau UPMK (uang penghargaan masa kerja), serta uang penggantian hak bila PHK (PP Pasal 40)</w:t>
            </w:r>
          </w:p>
        </w:tc>
      </w:tr>
    </w:tbl>
    <w:bookmarkEnd w:id="18"/>
    <w:bookmarkStart w:id="20" w:name="X01ba77997698596787d46cc30b82a07095f4f41"/>
    <w:p>
      <w:pPr>
        <w:pStyle w:val="Heading2"/>
      </w:pPr>
      <w:r>
        <w:t xml:space="preserve">Aturan Jangka Waktu dan Uang Kompensasi PKWT</w:t>
      </w:r>
    </w:p>
    <w:p>
      <w:pPr>
        <w:pStyle w:val="FirstParagraph"/>
      </w:pPr>
      <w:r>
        <w:t xml:space="preserve">Pagu 5 tahun berlaku untuk keseluruhan PKWT berdasarkan jangka waktu beserta perpanjangannya, bukan per kontrak. Tiga kontrak satu tahun berurutan memakai kuota yang sama (Pasal 8 ayat 2). Perpanjangan juga tidak mengulang hitungan dari nol: masa kerja tetap dihitung sejak PKWT pertama (Pasal 8 ayat 3).</w:t>
      </w:r>
    </w:p>
    <w:p>
      <w:pPr>
        <w:pStyle w:val="BodyText"/>
      </w:pPr>
      <w:r>
        <w:t xml:space="preserve">Skema lama yang masih beredar luas, yaitu 2 tahun ditambah perpanjangan 1 tahun dengan jeda 30 hari sebelum pembaruan, berasal dari Pasal 59 UU Nomor 13 Tahun 2003 versi lama. Pasal itu telah diubah</w:t>
      </w:r>
      <w:r>
        <w:t xml:space="preserve"> </w:t>
      </w:r>
      <w:hyperlink r:id="rId19">
        <w:r>
          <w:rPr>
            <w:rStyle w:val="Hyperlink"/>
          </w:rPr>
          <w:t xml:space="preserve">UU Nomor 6 Tahun 2023</w:t>
        </w:r>
      </w:hyperlink>
      <w:r>
        <w:t xml:space="preserve">; PP 35/2021 hanya mengatur perpanjangan dengan pagu 5 tahun.</w:t>
      </w:r>
    </w:p>
    <w:p>
      <w:pPr>
        <w:pStyle w:val="BodyText"/>
      </w:pPr>
      <w:r>
        <w:t xml:space="preserve">Uang kompensasinya punya empat titik:</w:t>
      </w:r>
    </w:p>
    <w:p>
      <w:pPr>
        <w:pStyle w:val="Compact"/>
        <w:numPr>
          <w:ilvl w:val="0"/>
          <w:numId w:val="1001"/>
        </w:numPr>
      </w:pPr>
      <w:r>
        <w:rPr>
          <w:b/>
          <w:bCs/>
        </w:rPr>
        <w:t xml:space="preserve">Siapa yang berhak:</w:t>
      </w:r>
      <w:r>
        <w:t xml:space="preserve"> </w:t>
      </w:r>
      <w:r>
        <w:t xml:space="preserve">pekerja PKWT dengan masa kerja paling sedikit 1 bulan terus menerus (Pasal 15 ayat 3).</w:t>
      </w:r>
    </w:p>
    <w:p>
      <w:pPr>
        <w:pStyle w:val="Compact"/>
        <w:numPr>
          <w:ilvl w:val="0"/>
          <w:numId w:val="1001"/>
        </w:numPr>
      </w:pPr>
      <w:r>
        <w:rPr>
          <w:b/>
          <w:bCs/>
        </w:rPr>
        <w:t xml:space="preserve">Kapan dibayar:</w:t>
      </w:r>
      <w:r>
        <w:t xml:space="preserve"> </w:t>
      </w:r>
      <w:r>
        <w:t xml:space="preserve">saat PKWT berakhir, dan per periode bila diperpanjang (Pasal 15 ayat 2 dan 4).</w:t>
      </w:r>
    </w:p>
    <w:p>
      <w:pPr>
        <w:pStyle w:val="Compact"/>
        <w:numPr>
          <w:ilvl w:val="0"/>
          <w:numId w:val="1001"/>
        </w:numPr>
      </w:pPr>
      <w:r>
        <w:rPr>
          <w:b/>
          <w:bCs/>
        </w:rPr>
        <w:t xml:space="preserve">Besarannya:</w:t>
      </w:r>
      <w:r>
        <w:t xml:space="preserve"> </w:t>
      </w:r>
      <w:r>
        <w:t xml:space="preserve">12 bulan terus menerus setara 1 bulan upah; kurang atau lebih dari itu proporsional: (masa kerja ÷ 12) × 1 bulan upah (Pasal 16 ayat 1).</w:t>
      </w:r>
    </w:p>
    <w:p>
      <w:pPr>
        <w:pStyle w:val="Compact"/>
        <w:numPr>
          <w:ilvl w:val="0"/>
          <w:numId w:val="1001"/>
        </w:numPr>
      </w:pPr>
      <w:r>
        <w:rPr>
          <w:b/>
          <w:bCs/>
        </w:rPr>
        <w:t xml:space="preserve">Dasar upahnya:</w:t>
      </w:r>
      <w:r>
        <w:t xml:space="preserve"> </w:t>
      </w:r>
      <w:r>
        <w:t xml:space="preserve">sebagai aturan umum, upah pokok ditambah tunjangan tetap (Pasal 16 ayat 2).</w:t>
      </w:r>
    </w:p>
    <w:p>
      <w:pPr>
        <w:pStyle w:val="FirstParagraph"/>
      </w:pPr>
      <w:r>
        <w:t xml:space="preserve">Contohnya, masa kerja 8 bulan menghasilkan (8 ÷ 12) × 1 bulan upah, sekitar 0,67 bulan upah.</w:t>
      </w:r>
    </w:p>
    <w:bookmarkEnd w:id="20"/>
    <w:bookmarkStart w:id="21" w:name="kapan-pkwt-berubah-menjadi-pkwtt"/>
    <w:p>
      <w:pPr>
        <w:pStyle w:val="Heading2"/>
      </w:pPr>
      <w:r>
        <w:t xml:space="preserve">Kapan PKWT Berubah Menjadi PKWTT?</w:t>
      </w:r>
    </w:p>
    <w:p>
      <w:pPr>
        <w:pStyle w:val="FirstParagraph"/>
      </w:pPr>
      <w:r>
        <w:t xml:space="preserve">Konversi terjadi demi hukum. Statusnya berubah otomatis saat syaratnya tidak terpenuhi, tanpa menunggu persetujuan atau penetapan perusahaan. Akibatnya, seorang pekerja bisa sudah berstatus PKWTT jauh sebelum ada yang menyadarinya, dan perusahaan baru tahu saat berkasnya dibuka karena ada perselisihan.</w:t>
      </w:r>
    </w:p>
    <w:p>
      <w:pPr>
        <w:pStyle w:val="BodyText"/>
      </w:pPr>
      <w:r>
        <w:t xml:space="preserve">Dua pemicu yang sering luput:</w:t>
      </w:r>
    </w:p>
    <w:p>
      <w:pPr>
        <w:pStyle w:val="Compact"/>
        <w:numPr>
          <w:ilvl w:val="0"/>
          <w:numId w:val="1002"/>
        </w:numPr>
      </w:pPr>
      <w:r>
        <w:rPr>
          <w:b/>
          <w:bCs/>
        </w:rPr>
        <w:t xml:space="preserve">Pekerjaannya bersifat tetap.</w:t>
      </w:r>
      <w:r>
        <w:t xml:space="preserve"> </w:t>
      </w:r>
      <w:r>
        <w:t xml:space="preserve">PKWT hanya boleh untuk pekerjaan tertentu yang menurut jenis dan sifatnya akan selesai dalam waktu tertentu. PKWT yang tidak memenuhi ketentuan itu, termasuk yang diadakan untuk pekerjaan tetap, demi hukum menjadi PKWTT (Pasal 59 ayat 1 sampai 3).</w:t>
      </w:r>
    </w:p>
    <w:p>
      <w:pPr>
        <w:pStyle w:val="Compact"/>
        <w:numPr>
          <w:ilvl w:val="0"/>
          <w:numId w:val="1002"/>
        </w:numPr>
      </w:pPr>
      <w:r>
        <w:rPr>
          <w:b/>
          <w:bCs/>
        </w:rPr>
        <w:t xml:space="preserve">Perjanjian kerja harian yang melewati ambang.</w:t>
      </w:r>
      <w:r>
        <w:t xml:space="preserve"> </w:t>
      </w:r>
      <w:r>
        <w:t xml:space="preserve">Skemanya mensyaratkan pekerja bekerja kurang dari 21 hari dalam 1 bulan. Bila ia bekerja 21 hari atau lebih selama 3 bulan berturut-turut atau lebih, perjanjian itu tidak berlaku dan hubungan kerjanya demi hukum menjadi PKWTT (PP Pasal 10 ayat 3 dan 4).</w:t>
      </w:r>
    </w:p>
    <w:p>
      <w:pPr>
        <w:pStyle w:val="FirstParagraph"/>
      </w:pPr>
      <w:r>
        <w:t xml:space="preserve">Uraian ini informasi umum, bukan nasihat hukum. Penerapannya pada kasus konkret bergantung pada fakta lapangan dan penilaian lembaga berwenang bila diperselisihkan.</w:t>
      </w:r>
    </w:p>
    <w:bookmarkEnd w:id="21"/>
    <w:bookmarkStart w:id="24" w:name="X416ba67eac4cf53eefe2f2a125066e1b66b5844"/>
    <w:p>
      <w:pPr>
        <w:pStyle w:val="Heading2"/>
      </w:pPr>
      <w:r>
        <w:t xml:space="preserve">Implikasi Administratif: Kepatuhan PKWT Adalah Soal Tanggal</w:t>
      </w:r>
    </w:p>
    <w:p>
      <w:pPr>
        <w:pStyle w:val="FirstParagraph"/>
      </w:pPr>
      <w:r>
        <w:t xml:space="preserve">Sebagian besar aturan di atas berujung pada tenggat dan jejak dokumen, bukan pada tafsir hukum. PKWT wajib dicatatkan secara daring paling lama 3 hari kerja sejak penandatanganan, atau tertulis di dinas kabupaten/kota paling lama 7 hari kerja bila kanal daring belum tersedia (PP Pasal 14).</w:t>
      </w:r>
    </w:p>
    <w:p>
      <w:pPr>
        <w:pStyle w:val="BodyText"/>
      </w:pPr>
      <w:r>
        <w:t xml:space="preserve">Pada ratusan karyawan dengan tanggal mulai yang berbeda-beda, yang gagal biasanya bukan pemahaman aturannya, melainkan pelacakannya. Di sinilah</w:t>
      </w:r>
      <w:r>
        <w:t xml:space="preserve"> </w:t>
      </w:r>
      <w:hyperlink r:id="rId22">
        <w:r>
          <w:rPr>
            <w:rStyle w:val="Hyperlink"/>
          </w:rPr>
          <w:t xml:space="preserve">sistem Human Capital Management</w:t>
        </w:r>
      </w:hyperlink>
      <w:r>
        <w:t xml:space="preserve"> </w:t>
      </w:r>
      <w:r>
        <w:t xml:space="preserve">(HCM) berperan: status kontrak dan tanggal berakhir hidup sebagai data induk karyawan, bukan catatan terpisah tiap divisi. Pada</w:t>
      </w:r>
      <w:r>
        <w:t xml:space="preserve"> </w:t>
      </w:r>
      <w:hyperlink r:id="rId23">
        <w:r>
          <w:rPr>
            <w:rStyle w:val="Hyperlink"/>
          </w:rPr>
          <w:t xml:space="preserve">SAP SuccessFactors</w:t>
        </w:r>
      </w:hyperlink>
      <w:r>
        <w:t xml:space="preserve">, modul Employee Central diposisikan SAP sebagai</w:t>
      </w:r>
      <w:r>
        <w:t xml:space="preserve"> </w:t>
      </w:r>
      <w:r>
        <w:rPr>
          <w:i/>
          <w:iCs/>
        </w:rPr>
        <w:t xml:space="preserve">HR information system</w:t>
      </w:r>
      <w:r>
        <w:t xml:space="preserve">, acuan resmi (</w:t>
      </w:r>
      <w:r>
        <w:rPr>
          <w:i/>
          <w:iCs/>
        </w:rPr>
        <w:t xml:space="preserve">system of record</w:t>
      </w:r>
      <w:r>
        <w:t xml:space="preserve">) data karyawan.</w:t>
      </w:r>
    </w:p>
    <w:bookmarkEnd w:id="24"/>
    <w:bookmarkStart w:id="28" w:name="faq-pertanyaan-yang-sering-diajukan"/>
    <w:p>
      <w:pPr>
        <w:pStyle w:val="Heading2"/>
      </w:pPr>
      <w:r>
        <w:t xml:space="preserve">FAQ (Pertanyaan yang Sering Diajukan)</w:t>
      </w:r>
    </w:p>
    <w:bookmarkStart w:id="25" w:name="apakah-karyawan-pkwt-dapat-pesangon"/>
    <w:p>
      <w:pPr>
        <w:pStyle w:val="Heading3"/>
      </w:pPr>
      <w:r>
        <w:t xml:space="preserve">Apakah karyawan PKWT dapat pesangon?</w:t>
      </w:r>
    </w:p>
    <w:p>
      <w:pPr>
        <w:pStyle w:val="FirstParagraph"/>
      </w:pPr>
      <w:r>
        <w:t xml:space="preserve">Tidak. Yang diwajibkan bagi PKWT adalah uang kompensasi, bukan pesangon. PKWT selama 12 bulan terus menerus mendapat 1 bulan upah; kurang atau lebih dari itu proporsional (PP 35/2021 Pasal 16). Haknya berlaku bila masa kerja paling sedikit 1 bulan.</w:t>
      </w:r>
    </w:p>
    <w:bookmarkEnd w:id="25"/>
    <w:bookmarkStart w:id="26" w:name="berapa-lama-maksimal-kontrak-pkwt"/>
    <w:p>
      <w:pPr>
        <w:pStyle w:val="Heading3"/>
      </w:pPr>
      <w:r>
        <w:t xml:space="preserve">Berapa lama maksimal kontrak PKWT?</w:t>
      </w:r>
    </w:p>
    <w:p>
      <w:pPr>
        <w:pStyle w:val="FirstParagraph"/>
      </w:pPr>
      <w:r>
        <w:t xml:space="preserve">PKWT berdasarkan jangka waktu paling lama 5 tahun, dan batas itu berlaku untuk keseluruhan PKWT beserta perpanjangannya, bukan per kontrak (PP 35/2021 Pasal 8). Skema lama 2 tahun ditambah perpanjangan 1 tahun berasal dari aturan sebelum UU Cipta Kerja.</w:t>
      </w:r>
    </w:p>
    <w:bookmarkEnd w:id="26"/>
    <w:bookmarkStart w:id="27" w:name="X4c3f5b3465a6235890f31b0a0632f535a0c42d6"/>
    <w:p>
      <w:pPr>
        <w:pStyle w:val="Heading3"/>
      </w:pPr>
      <w:r>
        <w:t xml:space="preserve">Apakah PKWT boleh menerapkan masa percobaan?</w:t>
      </w:r>
    </w:p>
    <w:p>
      <w:pPr>
        <w:pStyle w:val="FirstParagraph"/>
      </w:pPr>
      <w:r>
        <w:t xml:space="preserve">Tidak. Bila tetap disyaratkan, klausul masa percobaan itu batal demi hukum dan masa kerjanya tetap dihitung (PP 35/2021 Pasal 12; UU 13/2003 Pasal 58 versi ubahan). Masa percobaan paling lama 3 bulan hanya berlaku bagi PKWTT.</w:t>
      </w:r>
    </w:p>
    <w:bookmarkEnd w:id="27"/>
    <w:bookmarkEnd w:id="28"/>
    <w:bookmarkStart w:id="29" w:name="kesimpulan"/>
    <w:p>
      <w:pPr>
        <w:pStyle w:val="Heading2"/>
      </w:pPr>
      <w:r>
        <w:t xml:space="preserve">Kesimpulan</w:t>
      </w:r>
    </w:p>
    <w:p>
      <w:pPr>
        <w:pStyle w:val="FirstParagraph"/>
      </w:pPr>
      <w:r>
        <w:t xml:space="preserve">Perbedaan PKWT dan PKWTT bukan soal label, melainkan paket kewajiban yang melekat pada tiap status, dan konversi demi hukum tidak menunggu persetujuan siapa pun. Yang menentukan kepatuhan di lapangan adalah kedisiplinan pada tanggal dan dokumen. Sebagai SAP Platinum Partner melalui United VARs, Soltius mengimplementasikan dan mendampingi solusi Human Capital Management SAP seperti SAP SuccessFactors, termasuk penataan data induk kepegawaian.</w:t>
      </w:r>
    </w:p>
    <w:p>
      <w:pPr>
        <w:pStyle w:val="BodyText"/>
      </w:pPr>
      <w:r>
        <w:t xml:space="preserve">Untuk mendiskusikan pengelolaan data kepegawaian dan tenggat kontrak di SAP SuccessFactors,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jdih.kemnaker.go.id/asset/data_puu/2023UU06_Naker.pdf" TargetMode="External" /><Relationship Type="http://schemas.openxmlformats.org/officeDocument/2006/relationships/hyperlink" Id="rId17" Target="https://jdih.kemnaker.go.id/asset/data_puu/PP352021.pdf" TargetMode="External" /><Relationship Type="http://schemas.openxmlformats.org/officeDocument/2006/relationships/hyperlink" Id="rId22" Target="https://www.soltius.co.id/solutions-by-products/human-capital-management-system" TargetMode="External" /><Relationship Type="http://schemas.openxmlformats.org/officeDocument/2006/relationships/hyperlink" Id="rId23"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19" Target="https://jdih.kemnaker.go.id/asset/data_puu/2023UU06_Naker.pdf" TargetMode="External" /><Relationship Type="http://schemas.openxmlformats.org/officeDocument/2006/relationships/hyperlink" Id="rId17" Target="https://jdih.kemnaker.go.id/asset/data_puu/PP352021.pdf" TargetMode="External" /><Relationship Type="http://schemas.openxmlformats.org/officeDocument/2006/relationships/hyperlink" Id="rId22" Target="https://www.soltius.co.id/solutions-by-products/human-capital-management-system" TargetMode="External" /><Relationship Type="http://schemas.openxmlformats.org/officeDocument/2006/relationships/hyperlink" Id="rId23"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2026-07-17T17:24:53Z</dcterms:created>
  <dcterms:modified xsi:type="dcterms:W3CDTF">2026-07-17T17:24:53Z</dcterms:modified>
</cp:coreProperties>
</file>

<file path=docProps/custom.xml><?xml version="1.0" encoding="utf-8"?>
<Properties xmlns="http://schemas.openxmlformats.org/officeDocument/2006/custom-properties" xmlns:vt="http://schemas.openxmlformats.org/officeDocument/2006/docPropsVTypes"/>
</file>