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"SAP SuccessFactors vs HRIS Lokal: Mana yang Tepat untuk Perusahaan?"</w:t>
      </w:r>
      <w:r>
        <w:br/>
      </w:r>
      <w:r>
        <w:rPr>
          <w:rStyle w:val="FunctionTok"/>
        </w:rPr>
        <w:t xml:space="preserve">meta_title</w:t>
      </w:r>
      <w:r>
        <w:rPr>
          <w:rStyle w:val="KeywordTok"/>
        </w:rPr>
        <w:t xml:space="preserve">:</w:t>
      </w:r>
      <w:r>
        <w:rPr>
          <w:rStyle w:val="AttributeTok"/>
        </w:rPr>
        <w:t xml:space="preserve"> </w:t>
      </w:r>
      <w:r>
        <w:rPr>
          <w:rStyle w:val="StringTok"/>
        </w:rPr>
        <w:t xml:space="preserve">"SAP SuccessFactors vs HRIS Lokal: Mana yang Tepat?"</w:t>
      </w:r>
      <w:r>
        <w:br/>
      </w:r>
      <w:r>
        <w:rPr>
          <w:rStyle w:val="FunctionTok"/>
        </w:rPr>
        <w:t xml:space="preserve">meta_description</w:t>
      </w:r>
      <w:r>
        <w:rPr>
          <w:rStyle w:val="KeywordTok"/>
        </w:rPr>
        <w:t xml:space="preserve">:</w:t>
      </w:r>
      <w:r>
        <w:rPr>
          <w:rStyle w:val="AttributeTok"/>
        </w:rPr>
        <w:t xml:space="preserve"> </w:t>
      </w:r>
      <w:r>
        <w:rPr>
          <w:rStyle w:val="StringTok"/>
        </w:rPr>
        <w:t xml:space="preserve">"SAP SuccessFactors vs HRIS lokal: bandingkan cakupan fungsi, lokalisasi penggajian Indonesia, dan integrasi ERP sebelum memilih sistem HR perusahaan."</w:t>
      </w:r>
      <w:r>
        <w:br/>
      </w:r>
      <w:r>
        <w:rPr>
          <w:rStyle w:val="FunctionTok"/>
        </w:rPr>
        <w:t xml:space="preserve">slug</w:t>
      </w:r>
      <w:r>
        <w:rPr>
          <w:rStyle w:val="KeywordTok"/>
        </w:rPr>
        <w:t xml:space="preserve">:</w:t>
      </w:r>
      <w:r>
        <w:rPr>
          <w:rStyle w:val="AttributeTok"/>
        </w:rPr>
        <w:t xml:space="preserve"> </w:t>
      </w:r>
      <w:r>
        <w:rPr>
          <w:rStyle w:val="StringTok"/>
        </w:rPr>
        <w:t xml:space="preserve">"sap-successfactors-vs-hris-lokal"</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"successfactors vs hris lokal"</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"sap successfactors vs hris"</w:t>
      </w:r>
      <w:r>
        <w:rPr>
          <w:rStyle w:val="KeywordTok"/>
        </w:rPr>
        <w:t xml:space="preserve">,</w:t>
      </w:r>
      <w:r>
        <w:rPr>
          <w:rStyle w:val="AttributeTok"/>
        </w:rPr>
        <w:t xml:space="preserve"> </w:t>
      </w:r>
      <w:r>
        <w:rPr>
          <w:rStyle w:val="StringTok"/>
        </w:rPr>
        <w:t xml:space="preserve">"HRIS (human resource information system)"</w:t>
      </w:r>
      <w:r>
        <w:rPr>
          <w:rStyle w:val="KeywordTok"/>
        </w:rPr>
        <w:t xml:space="preserve">,</w:t>
      </w:r>
      <w:r>
        <w:rPr>
          <w:rStyle w:val="AttributeTok"/>
        </w:rPr>
        <w:t xml:space="preserve"> </w:t>
      </w:r>
      <w:r>
        <w:rPr>
          <w:rStyle w:val="StringTok"/>
        </w:rPr>
        <w:t xml:space="preserve">"suite HCM (human capital management)"</w:t>
      </w:r>
      <w:r>
        <w:rPr>
          <w:rStyle w:val="KeywordTok"/>
        </w:rPr>
        <w:t xml:space="preserve">,</w:t>
      </w:r>
      <w:r>
        <w:rPr>
          <w:rStyle w:val="AttributeTok"/>
        </w:rPr>
        <w:t xml:space="preserve"> </w:t>
      </w:r>
      <w:r>
        <w:rPr>
          <w:rStyle w:val="StringTok"/>
        </w:rPr>
        <w:t xml:space="preserve">"vendor HRIS lokal"</w:t>
      </w:r>
      <w:r>
        <w:rPr>
          <w:rStyle w:val="KeywordTok"/>
        </w:rPr>
        <w:t xml:space="preserve">,</w:t>
      </w:r>
      <w:r>
        <w:rPr>
          <w:rStyle w:val="AttributeTok"/>
        </w:rPr>
        <w:t xml:space="preserve"> </w:t>
      </w:r>
      <w:r>
        <w:rPr>
          <w:rStyle w:val="StringTok"/>
        </w:rPr>
        <w:t xml:space="preserve">"Employee Central Payroll"</w:t>
      </w:r>
      <w:r>
        <w:rPr>
          <w:rStyle w:val="KeywordTok"/>
        </w:rPr>
        <w:t xml:space="preserve">,</w:t>
      </w:r>
      <w:r>
        <w:rPr>
          <w:rStyle w:val="AttributeTok"/>
        </w:rPr>
        <w:t xml:space="preserve"> </w:t>
      </w:r>
      <w:r>
        <w:rPr>
          <w:rStyle w:val="StringTok"/>
        </w:rPr>
        <w:t xml:space="preserve">"lokalisasi penggajian PPh 21 dan BPJS"</w:t>
      </w:r>
      <w:r>
        <w:rPr>
          <w:rStyle w:val="KeywordTok"/>
        </w:rPr>
        <w:t xml:space="preserve">,</w:t>
      </w:r>
      <w:r>
        <w:rPr>
          <w:rStyle w:val="AttributeTok"/>
        </w:rPr>
        <w:t xml:space="preserve"> </w:t>
      </w:r>
      <w:r>
        <w:rPr>
          <w:rStyle w:val="StringTok"/>
        </w:rPr>
        <w:t xml:space="preserve">"integrasi SAP S/4HANA"</w:t>
      </w:r>
      <w:r>
        <w:rPr>
          <w:rStyle w:val="KeywordTok"/>
        </w:rPr>
        <w:t xml:space="preserve">,</w:t>
      </w:r>
      <w:r>
        <w:rPr>
          <w:rStyle w:val="AttributeTok"/>
        </w:rPr>
        <w:t xml:space="preserve"> </w:t>
      </w:r>
      <w:r>
        <w:rPr>
          <w:rStyle w:val="StringTok"/>
        </w:rPr>
        <w:t xml:space="preserve">"perusahaan multi-entitas"</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"https://www.soltius.co.id/solutions-by-products/reading/success-factors"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SuccessFactors"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"https://www.soltius.co.id/id/blog/sistem-hris-terbaik"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"sistem HRIS"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"https://news.sap.com/2025/09/sap-leader-gartner-magic-quadrant-cloud-hcm-suites-1000-employee-enterprises/"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"Nama &amp; cakupan Gartner Magic Quadrant for Cloud HCM Suites for 1,000+ Employee Enterprises; SAP Leader ke-10 berturut-turut; 10.000+ pelanggan 'from startups and mid-sized companies to large enterprises' (SAP, 16 September 2025)"</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"https://news.sap.com/2023/12/sap-successfactors-employee-central-payroll-supports-50-locales/"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"Employee Central Payroll mendukung 50 locale secara native dan 800+ perubahan regulasi per tahun (SAP, Desember 2023)"</w:t>
      </w:r>
      <w:r>
        <w:br/>
      </w:r>
      <w:r>
        <w:rPr>
          <w:rStyle w:val="FunctionTok"/>
        </w:rPr>
        <w:t xml:space="preserve">brief_id</w:t>
      </w:r>
      <w:r>
        <w:rPr>
          <w:rStyle w:val="KeywordTok"/>
        </w:rPr>
        <w:t xml:space="preserve">:</w:t>
      </w:r>
      <w:r>
        <w:rPr>
          <w:rStyle w:val="AttributeTok"/>
        </w:rPr>
        <w:t xml:space="preserve"> </w:t>
      </w:r>
      <w:r>
        <w:rPr>
          <w:rStyle w:val="StringTok"/>
        </w:rPr>
        <w:t xml:space="preserve">"successfactors-vs-hris-c01"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948</w:t>
      </w:r>
    </w:p>
    <w:p>
      <w:r>
        <w:pict>
          <v:rect style="width:0;height:1.5pt" o:hralign="center" o:hrstd="t" o:hr="t"/>
        </w:pict>
      </w:r>
    </w:p>
    <w:bookmarkEnd w:id="16"/>
    <w:bookmarkStart w:id="28" w:name="X4c2f073c843769a0e8b0f63979986b16c9d828b"/>
    <w:p>
      <w:pPr>
        <w:pStyle w:val="Heading1"/>
      </w:pPr>
      <w:r>
        <w:t xml:space="preserve">SAP SuccessFactors vs HRIS Lokal: Mana yang Tepat untuk Perusahaan?</w:t>
      </w:r>
    </w:p>
    <w:p>
      <w:pPr>
        <w:pStyle w:val="FirstParagraph"/>
      </w:pPr>
      <w:r>
        <w:t xml:space="preserve">Manajemen meminta satu sistem HR, dan shortlist yang masuk berisi SAP SuccessFactors berdampingan dengan beberapa HRIS lokal. Setiap vendor mengklaim produknya paling pas, sementara tim HR tidak punya dasar yang setara untuk membandingkan: demo terlihat mirip, daftar fiturnya sama panjang. Artikel ini menempatkan keduanya pada dimensi yang benar-benar menentukan keputusan, lengkap dengan kapan masing-masing menjadi pilihan yang rasional.</w:t>
      </w:r>
    </w:p>
    <w:p>
      <w:pPr>
        <w:pStyle w:val="BlockText"/>
      </w:pPr>
      <w:r>
        <w:rPr>
          <w:b/>
          <w:bCs/>
        </w:rPr>
        <w:t xml:space="preserve">Ringkasnya:</w:t>
      </w:r>
      <w:r>
        <w:t xml:space="preserve"> </w:t>
      </w:r>
      <w:r>
        <w:t xml:space="preserve">SAP SuccessFactors adalah suite Human Capital Management (HCM) berbasis cloud dari SAP, sementara HRIS (</w:t>
      </w:r>
      <w:r>
        <w:rPr>
          <w:i/>
          <w:iCs/>
        </w:rPr>
        <w:t xml:space="preserve">human resource information system</w:t>
      </w:r>
      <w:r>
        <w:t xml:space="preserve">) lokal adalah perangkat lunak HR buatan vendor Indonesia yang berfokus pada administrasi kepegawaian dan penggajian sesuai aturan setempat. Memilih di antara keduanya bukan soal mana yang lebih canggih, melainkan soal cakupan proses dan skala organisasi yang perlu Anda kelola.</w:t>
      </w:r>
    </w:p>
    <w:bookmarkStart w:id="18" w:name="X2fa59bcf4848f35b20f681d3971ee4550dde060"/>
    <w:p>
      <w:pPr>
        <w:pStyle w:val="Heading2"/>
      </w:pPr>
      <w:r>
        <w:t xml:space="preserve">Perbandingan SAP SuccessFactors dan HRIS Lokal pada Enam Dimensi</w:t>
      </w:r>
    </w:p>
    <w:p>
      <w:pPr>
        <w:pStyle w:val="FirstParagraph"/>
      </w:pPr>
      <w:r>
        <w:t xml:space="preserve">Adu daftar fitur antara keduanya hampir selalu buntu, sebab yang diperbandingkan bukan dua produk sekelas melainkan dua kelas sistem dengan titik berhenti berbeda. Enam dimensi di bawah lebih menentukan daripada panjang daftar fitur, dan dalam banyak proyek keputusan sudah selesai di dua dimensi pertama.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w:t>
            </w:r>
          </w:p>
        </w:tc>
        <w:tc>
          <w:tcPr/>
          <w:p>
            <w:pPr>
              <w:pStyle w:val="Compact"/>
            </w:pPr>
            <w:r>
              <w:t xml:space="preserve">SAP SuccessFactors</w:t>
            </w:r>
          </w:p>
        </w:tc>
        <w:tc>
          <w:tcPr/>
          <w:p>
            <w:pPr>
              <w:pStyle w:val="Compact"/>
            </w:pPr>
            <w:r>
              <w:t xml:space="preserve">HRIS lokal (umumnya)</w:t>
            </w:r>
          </w:p>
        </w:tc>
      </w:tr>
      <w:tr>
        <w:tc>
          <w:tcPr/>
          <w:p>
            <w:pPr>
              <w:pStyle w:val="Compact"/>
            </w:pPr>
            <w:r>
              <w:t xml:space="preserve">Cakupan fungsi</w:t>
            </w:r>
          </w:p>
        </w:tc>
        <w:tc>
          <w:tcPr/>
          <w:p>
            <w:pPr>
              <w:pStyle w:val="Compact"/>
            </w:pPr>
            <w:r>
              <w:t xml:space="preserve">Suite HCM: data inti karyawan, penggajian, waktu kerja, plus lapisan talenta (rekrutmen, kinerja, pembelajaran, suksesi) dan analitik</w:t>
            </w:r>
          </w:p>
        </w:tc>
        <w:tc>
          <w:tcPr/>
          <w:p>
            <w:pPr>
              <w:pStyle w:val="Compact"/>
            </w:pPr>
            <w:r>
              <w:t xml:space="preserve">Administrasi inti: data karyawan, absensi, cuti, penggajian; kedalaman modul talenta bervariasi per vendor</w:t>
            </w:r>
          </w:p>
        </w:tc>
      </w:tr>
      <w:tr>
        <w:tc>
          <w:tcPr/>
          <w:p>
            <w:pPr>
              <w:pStyle w:val="Compact"/>
            </w:pPr>
            <w:r>
              <w:t xml:space="preserve">Lokalisasi penggajian Indonesia</w:t>
            </w:r>
          </w:p>
        </w:tc>
        <w:tc>
          <w:tcPr/>
          <w:p>
            <w:pPr>
              <w:pStyle w:val="Compact"/>
            </w:pPr>
            <w:r>
              <w:t xml:space="preserve">Ditangani modul Employee Central Payroll, yang menurut SAP mendukung</w:t>
            </w:r>
            <w:r>
              <w:t xml:space="preserve"> </w:t>
            </w:r>
            <w:hyperlink r:id="rId17">
              <w:r>
                <w:rPr>
                  <w:rStyle w:val="Hyperlink"/>
                </w:rPr>
                <w:t xml:space="preserve">50 locale</w:t>
              </w:r>
            </w:hyperlink>
            <w:r>
              <w:t xml:space="preserve"> </w:t>
            </w:r>
            <w:r>
              <w:t xml:space="preserve">secara native dengan 800+ perubahan regulasi per tahun (SAP, Desember 2023); cakupan locale berubah antar-rilis dan dikonfirmasi per proyek</w:t>
            </w:r>
          </w:p>
        </w:tc>
        <w:tc>
          <w:tcPr/>
          <w:p>
            <w:pPr>
              <w:pStyle w:val="Compact"/>
            </w:pPr>
            <w:r>
              <w:t xml:space="preserve">Dibangun mengikuti aturan Indonesia, mis. perhitungan otomatis PPh 21 dan BPJS</w:t>
            </w:r>
            <w:r>
              <w:t xml:space="preserve"> </w:t>
            </w:r>
            <w:r>
              <w:t xml:space="preserve">“in full compliance with regulations”</w:t>
            </w:r>
            <w:r>
              <w:t xml:space="preserve"> </w:t>
            </w:r>
            <w:r>
              <w:t xml:space="preserve">(situs resmi Mekari Talenta, Juli 2026)</w:t>
            </w:r>
          </w:p>
        </w:tc>
      </w:tr>
      <w:tr>
        <w:tc>
          <w:tcPr/>
          <w:p>
            <w:pPr>
              <w:pStyle w:val="Compact"/>
            </w:pPr>
            <w:r>
              <w:t xml:space="preserve">Jangkauan organisasi</w:t>
            </w:r>
          </w:p>
        </w:tc>
        <w:tc>
          <w:tcPr/>
          <w:p>
            <w:pPr>
              <w:pStyle w:val="Compact"/>
            </w:pPr>
            <w:r>
              <w:t xml:space="preserve">Global; SAP menyebut 10.000+ pelanggan,</w:t>
            </w:r>
            <w:r>
              <w:t xml:space="preserve"> </w:t>
            </w:r>
            <w:r>
              <w:t xml:space="preserve">“dari startup dan perusahaan menengah hingga enterprise besar”</w:t>
            </w:r>
            <w:r>
              <w:t xml:space="preserve"> </w:t>
            </w:r>
            <w:r>
              <w:t xml:space="preserve">(SAP, September 2025)</w:t>
            </w:r>
          </w:p>
        </w:tc>
        <w:tc>
          <w:tcPr/>
          <w:p>
            <w:pPr>
              <w:pStyle w:val="Compact"/>
            </w:pPr>
            <w:r>
              <w:t xml:space="preserve">Fokus pasar Indonesia; entitas dan regulasi lokal</w:t>
            </w:r>
          </w:p>
        </w:tc>
      </w:tr>
      <w:tr>
        <w:tc>
          <w:tcPr/>
          <w:p>
            <w:pPr>
              <w:pStyle w:val="Compact"/>
            </w:pPr>
            <w:r>
              <w:t xml:space="preserve">Integrasi ERP</w:t>
            </w:r>
          </w:p>
        </w:tc>
        <w:tc>
          <w:tcPr/>
          <w:p>
            <w:pPr>
              <w:pStyle w:val="Compact"/>
            </w:pPr>
            <w:r>
              <w:t xml:space="preserve">Tersedia integrasi standar untuk mereplikasi data induk karyawan dan penugasan organisasi dari Employee Central ke SAP S/4HANA (SAP Learning)</w:t>
            </w:r>
          </w:p>
        </w:tc>
        <w:tc>
          <w:tcPr/>
          <w:p>
            <w:pPr>
              <w:pStyle w:val="Compact"/>
            </w:pPr>
            <w:r>
              <w:t xml:space="preserve">Bervariasi per vendor; perlu dicek per produk</w:t>
            </w:r>
          </w:p>
        </w:tc>
      </w:tr>
      <w:tr>
        <w:tc>
          <w:tcPr/>
          <w:p>
            <w:pPr>
              <w:pStyle w:val="Compact"/>
            </w:pPr>
            <w:r>
              <w:t xml:space="preserve">Model pembaruan</w:t>
            </w:r>
          </w:p>
        </w:tc>
        <w:tc>
          <w:tcPr/>
          <w:p>
            <w:pPr>
              <w:pStyle w:val="Compact"/>
            </w:pPr>
            <w:r>
              <w:t xml:space="preserve">Cloud (SaaS); dua rilis per tahun (1H dan 2H), mis. produksi 1H 2026 pada 15-16 Mei dan 2H 2026 pada 13-14 November (SAP)</w:t>
            </w:r>
          </w:p>
        </w:tc>
        <w:tc>
          <w:tcPr/>
          <w:p>
            <w:pPr>
              <w:pStyle w:val="Compact"/>
            </w:pPr>
            <w:r>
              <w:t xml:space="preserve">Cloud/SaaS; siklus rilis ditentukan vendor</w:t>
            </w:r>
          </w:p>
        </w:tc>
      </w:tr>
      <w:tr>
        <w:tc>
          <w:tcPr/>
          <w:p>
            <w:pPr>
              <w:pStyle w:val="Compact"/>
            </w:pPr>
            <w:r>
              <w:t xml:space="preserve">Ekosistem pengerjaan</w:t>
            </w:r>
          </w:p>
        </w:tc>
        <w:tc>
          <w:tcPr/>
          <w:p>
            <w:pPr>
              <w:pStyle w:val="Compact"/>
            </w:pPr>
            <w:r>
              <w:t xml:space="preserve">Ekosistem partner implementasi bersertifikat SAP</w:t>
            </w:r>
          </w:p>
        </w:tc>
        <w:tc>
          <w:tcPr/>
          <w:p>
            <w:pPr>
              <w:pStyle w:val="Compact"/>
            </w:pPr>
            <w:r>
              <w:t xml:space="preserve">Bervariasi per vendor; umumnya ditangani vendor sendiri</w:t>
            </w:r>
          </w:p>
        </w:tc>
      </w:tr>
    </w:tbl>
    <w:p>
      <w:pPr>
        <w:pStyle w:val="BodyText"/>
      </w:pPr>
      <w:r>
        <w:t xml:space="preserve">Kolom HRIS lokal sengaja ditulis pada level kategori karena vendor lokal sangat beragam dan artikel ini tidak mengaudit produk mereka satu per satu.</w:t>
      </w:r>
    </w:p>
    <w:p>
      <w:pPr>
        <w:pStyle w:val="BodyText"/>
      </w:pPr>
      <w:r>
        <w:t xml:space="preserve">Bacalah tabel itu sebagai peta cakupan, bukan papan skor. Tidak ada kolom yang menang di seluruh baris; yang ada hanya batas yang berbeda. Dua baris biasanya menjadi tempat keputusan benar-benar jatuh: lokalisasi penggajian dan integrasi ERP.</w:t>
      </w:r>
    </w:p>
    <w:bookmarkEnd w:id="18"/>
    <w:bookmarkStart w:id="20" w:name="kapan-hris-lokal-sudah-cukup"/>
    <w:p>
      <w:pPr>
        <w:pStyle w:val="Heading2"/>
      </w:pPr>
      <w:r>
        <w:t xml:space="preserve">Kapan HRIS Lokal Sudah Cukup?</w:t>
      </w:r>
    </w:p>
    <w:p>
      <w:pPr>
        <w:pStyle w:val="FirstParagraph"/>
      </w:pPr>
      <w:r>
        <w:t xml:space="preserve">Bila kebutuhan HR berhenti di administrasi kepegawaian satu entitas, yakni data karyawan, absensi, cuti, dan penggajian yang patuh PPh 21 serta BPJS, HRIS lokal adalah pilihan rasional dan bukan pilihan kelas dua. Menambah suite HCM di atas kebutuhan sebesar itu hanya menambah bagian sistem yang tidak dipakai.</w:t>
      </w:r>
    </w:p>
    <w:p>
      <w:pPr>
        <w:pStyle w:val="BodyText"/>
      </w:pPr>
      <w:r>
        <w:t xml:space="preserve">Empat sinyal berikut menandakan</w:t>
      </w:r>
      <w:r>
        <w:t xml:space="preserve"> </w:t>
      </w:r>
      <w:hyperlink r:id="rId19">
        <w:r>
          <w:rPr>
            <w:rStyle w:val="Hyperlink"/>
          </w:rPr>
          <w:t xml:space="preserve">sistem HRIS</w:t>
        </w:r>
      </w:hyperlink>
      <w:r>
        <w:t xml:space="preserve"> </w:t>
      </w:r>
      <w:r>
        <w:t xml:space="preserve">yang sudah berjalan masih layak dipertahankan:</w:t>
      </w:r>
    </w:p>
    <w:p>
      <w:pPr>
        <w:pStyle w:val="Compact"/>
        <w:numPr>
          <w:ilvl w:val="0"/>
          <w:numId w:val="1001"/>
        </w:numPr>
      </w:pPr>
      <w:r>
        <w:rPr>
          <w:b/>
          <w:bCs/>
        </w:rPr>
        <w:t xml:space="preserve">Satu entitas, satu negara.</w:t>
      </w:r>
      <w:r>
        <w:t xml:space="preserve"> </w:t>
      </w:r>
      <w:r>
        <w:t xml:space="preserve">Tidak ada konsolidasi lintas badan hukum atau mata uang yang perlu diseragamkan.</w:t>
      </w:r>
    </w:p>
    <w:p>
      <w:pPr>
        <w:pStyle w:val="Compact"/>
        <w:numPr>
          <w:ilvl w:val="0"/>
          <w:numId w:val="1001"/>
        </w:numPr>
      </w:pPr>
      <w:r>
        <w:rPr>
          <w:b/>
          <w:bCs/>
        </w:rPr>
        <w:t xml:space="preserve">Agenda HR masih administratif.</w:t>
      </w:r>
      <w:r>
        <w:t xml:space="preserve"> </w:t>
      </w:r>
      <w:r>
        <w:t xml:space="preserve">Yang dikelola payroll, absensi, dan cuti; belum suksesi, kinerja terstruktur, atau perencanaan tenaga kerja.</w:t>
      </w:r>
    </w:p>
    <w:p>
      <w:pPr>
        <w:pStyle w:val="Compact"/>
        <w:numPr>
          <w:ilvl w:val="0"/>
          <w:numId w:val="1001"/>
        </w:numPr>
      </w:pPr>
      <w:r>
        <w:rPr>
          <w:b/>
          <w:bCs/>
        </w:rPr>
        <w:t xml:space="preserve">Belum ada ERP yang menuntut data karyawan.</w:t>
      </w:r>
      <w:r>
        <w:t xml:space="preserve"> </w:t>
      </w:r>
      <w:r>
        <w:t xml:space="preserve">Biaya SDM belum perlu mengalir otomatis ke sistem finansial.</w:t>
      </w:r>
    </w:p>
    <w:p>
      <w:pPr>
        <w:pStyle w:val="Compact"/>
        <w:numPr>
          <w:ilvl w:val="0"/>
          <w:numId w:val="1001"/>
        </w:numPr>
      </w:pPr>
      <w:r>
        <w:rPr>
          <w:b/>
          <w:bCs/>
        </w:rPr>
        <w:t xml:space="preserve">Proses HR belum distandarkan.</w:t>
      </w:r>
      <w:r>
        <w:t xml:space="preserve"> </w:t>
      </w:r>
      <w:r>
        <w:t xml:space="preserve">Sistem apa pun akan diakali lewat spreadsheet selama prosesnya belum disepakati.</w:t>
      </w:r>
    </w:p>
    <w:bookmarkEnd w:id="20"/>
    <w:bookmarkStart w:id="23" w:name="X92050227b65163e3e7581d7bc8398b8f0aa41ec"/>
    <w:p>
      <w:pPr>
        <w:pStyle w:val="Heading2"/>
      </w:pPr>
      <w:r>
        <w:t xml:space="preserve">Kapan Perusahaan Membutuhkan SAP SuccessFactors?</w:t>
      </w:r>
    </w:p>
    <w:p>
      <w:pPr>
        <w:pStyle w:val="FirstParagraph"/>
      </w:pPr>
      <w:r>
        <w:t xml:space="preserve">Pemicunya jarang jumlah karyawan. Yang mendorong perpindahan adalah munculnya kebutuhan yang tidak lagi administratif: konsolidasi lintas entitas atau negara, agenda talenta yang harus terukur, dan data SDM yang harus menyatu dengan ERP. Ketiganya menuntut standar tunggal lintas fungsi, bukan perbaikan pada administrasi yang sudah berjalan.</w:t>
      </w:r>
    </w:p>
    <w:p>
      <w:pPr>
        <w:pStyle w:val="BodyText"/>
      </w:pPr>
      <w:r>
        <w:t xml:space="preserve">Ada satu penanda skala yang bisa Anda cek sendiri. Kategori riset tempat SAP dinobatkan Leader sepuluh kali berturut-turut bernama</w:t>
      </w:r>
      <w:r>
        <w:t xml:space="preserve"> </w:t>
      </w:r>
      <w:hyperlink r:id="rId21">
        <w:r>
          <w:rPr>
            <w:rStyle w:val="Hyperlink"/>
          </w:rPr>
          <w:t xml:space="preserve">Gartner Magic Quadrant for Cloud HCM Suites for 1.000+ Employee Enterprises</w:t>
        </w:r>
      </w:hyperlink>
      <w:r>
        <w:t xml:space="preserve"> </w:t>
      </w:r>
      <w:r>
        <w:t xml:space="preserve">(Gartner via SAP, 16 September 2025). Kategorinya sendiri disetel untuk organisasi 1.000+ karyawan.</w:t>
      </w:r>
    </w:p>
    <w:p>
      <w:pPr>
        <w:pStyle w:val="Compact"/>
        <w:numPr>
          <w:ilvl w:val="0"/>
          <w:numId w:val="1002"/>
        </w:numPr>
      </w:pPr>
      <w:r>
        <w:rPr>
          <w:b/>
          <w:bCs/>
        </w:rPr>
        <w:t xml:space="preserve">Multi-entitas atau multi-negara.</w:t>
      </w:r>
      <w:r>
        <w:t xml:space="preserve"> </w:t>
      </w:r>
      <w:r>
        <w:t xml:space="preserve">Struktur organisasi dan pelaporan SDM perlu satu standar lintas badan hukum.</w:t>
      </w:r>
    </w:p>
    <w:p>
      <w:pPr>
        <w:pStyle w:val="Compact"/>
        <w:numPr>
          <w:ilvl w:val="0"/>
          <w:numId w:val="1002"/>
        </w:numPr>
      </w:pPr>
      <w:r>
        <w:rPr>
          <w:b/>
          <w:bCs/>
        </w:rPr>
        <w:t xml:space="preserve">Agenda talenta, bukan administrasi.</w:t>
      </w:r>
      <w:r>
        <w:t xml:space="preserve"> </w:t>
      </w:r>
      <w:r>
        <w:t xml:space="preserve">Kinerja, pembelajaran, dan suksesi perlu dikelola dengan data, bukan lampiran email.</w:t>
      </w:r>
    </w:p>
    <w:p>
      <w:pPr>
        <w:pStyle w:val="Compact"/>
        <w:numPr>
          <w:ilvl w:val="0"/>
          <w:numId w:val="1002"/>
        </w:numPr>
      </w:pPr>
      <w:r>
        <w:rPr>
          <w:b/>
          <w:bCs/>
        </w:rPr>
        <w:t xml:space="preserve">Sudah berjalan di atas SAP S/4HANA.</w:t>
      </w:r>
      <w:r>
        <w:t xml:space="preserve"> </w:t>
      </w:r>
      <w:r>
        <w:t xml:space="preserve">Data induk karyawan yang satu sumber menghemat rekonsiliasi antara HR dan keuangan, dan di titik inilah</w:t>
      </w:r>
      <w:r>
        <w:t xml:space="preserve"> </w:t>
      </w:r>
      <w:hyperlink r:id="rId22">
        <w:r>
          <w:rPr>
            <w:rStyle w:val="Hyperlink"/>
          </w:rPr>
          <w:t xml:space="preserve">SAP SuccessFactors</w:t>
        </w:r>
      </w:hyperlink>
      <w:r>
        <w:t xml:space="preserve"> </w:t>
      </w:r>
      <w:r>
        <w:t xml:space="preserve">paling sering masuk hitungan.</w:t>
      </w:r>
    </w:p>
    <w:p>
      <w:pPr>
        <w:pStyle w:val="FirstParagraph"/>
      </w:pPr>
      <w:r>
        <w:t xml:space="preserve">Angka 1.000+ itu cakupan riset Gartner, bukan syarat minimum; SAP sendiri menyebut pelanggannya membentang dari startup dan perusahaan menengah hingga enterprise besar. Jujurnya, ukuran keputusan ini besar: di lapangan, sistem HR baru paling sering tersandung bukan oleh fiturnya, melainkan oleh data induk karyawan yang belum rapi saat dipindahkan.</w:t>
      </w:r>
    </w:p>
    <w:bookmarkEnd w:id="23"/>
    <w:bookmarkStart w:id="26" w:name="faq-pertanyaan-yang-sering-diajukan"/>
    <w:p>
      <w:pPr>
        <w:pStyle w:val="Heading2"/>
      </w:pPr>
      <w:r>
        <w:t xml:space="preserve">FAQ (Pertanyaan yang Sering Diajukan)</w:t>
      </w:r>
    </w:p>
    <w:bookmarkStart w:id="24" w:name="Xd513c46dbe7ac8cab8b2095682a32410e68ca72"/>
    <w:p>
      <w:pPr>
        <w:pStyle w:val="Heading3"/>
      </w:pPr>
      <w:r>
        <w:t xml:space="preserve">Apakah SAP SuccessFactors cocok untuk perusahaan menengah?</w:t>
      </w:r>
    </w:p>
    <w:p>
      <w:pPr>
        <w:pStyle w:val="FirstParagraph"/>
      </w:pPr>
      <w:r>
        <w:t xml:space="preserve">SAP menyatakan SuccessFactors dipakai lebih dari 10.000 pelanggan, dari startup dan perusahaan menengah hingga enterprise besar (SAP, September 2025). Namun kategori riset Gartner yang menobatkannya Leader disetel untuk perusahaan 1.000+ karyawan. Penentu praktisnya adalah kompleksitas proses dan kebutuhan integrasi, bukan jumlah karyawan semata.</w:t>
      </w:r>
    </w:p>
    <w:bookmarkEnd w:id="24"/>
    <w:bookmarkStart w:id="25" w:name="X480437673216af81e604e3ae6f7731c851fad21"/>
    <w:p>
      <w:pPr>
        <w:pStyle w:val="Heading3"/>
      </w:pPr>
      <w:r>
        <w:t xml:space="preserve">Apakah SAP SuccessFactors bisa menghitung penggajian sesuai aturan Indonesia?</w:t>
      </w:r>
    </w:p>
    <w:p>
      <w:pPr>
        <w:pStyle w:val="FirstParagraph"/>
      </w:pPr>
      <w:r>
        <w:t xml:space="preserve">Penggajian ditangani modul Employee Central Payroll, yang menurut SAP secara native mendukung 50 locale dan menerima lebih dari 800 pembaruan regulasi setiap tahun (SAP, Desember 2023). Cakupan locale berubah antar-rilis, sehingga status lokalisasi Indonesia sebaiknya dikonfirmasi ke SAP atau mitra implementasi untuk rilis yang berlaku.</w:t>
      </w:r>
    </w:p>
    <w:bookmarkEnd w:id="25"/>
    <w:bookmarkEnd w:id="26"/>
    <w:bookmarkStart w:id="27" w:name="kesimpulan"/>
    <w:p>
      <w:pPr>
        <w:pStyle w:val="Heading2"/>
      </w:pPr>
      <w:r>
        <w:t xml:space="preserve">Kesimpulan</w:t>
      </w:r>
    </w:p>
    <w:p>
      <w:pPr>
        <w:pStyle w:val="FirstParagraph"/>
      </w:pPr>
      <w:r>
        <w:t xml:space="preserve">Pertanyaannya bukan mana yang lebih bagus antara SAP SuccessFactors dan HRIS lokal, melainkan seberapa jauh proses SDM Anda melampaui administrasi kepegawaian. Jawabannya ada di organisasi Anda, bukan di brosur vendor. Sebagai SAP Platinum Partner melalui United VARs, Soltius mengimplementasikan dan mendampingi solusi Human Capital Management SAP, termasuk penataan data induk kepegawaian dan integrasinya ke ERP. Bagi yang sedang menyusun shortlist, penilaian kesiapan data biasanya lebih berguna daripada satu demo tambahan.</w:t>
      </w:r>
    </w:p>
    <w:p>
      <w:pPr>
        <w:pStyle w:val="BodyText"/>
      </w:pPr>
      <w:r>
        <w:t xml:space="preserve">Untuk menjajaki apakah SAP SuccessFactors sesuai dengan lanskap HR perusahaan Anda, kunjungi soltius.co.id.</w:t>
      </w:r>
    </w:p>
    <w:bookmarkEnd w:id="27"/>
    <w:bookmarkEnd w:id="28"/>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news.sap.com/2023/12/sap-successfactors-employee-central-payroll-supports-50-locales/" TargetMode="External" /><Relationship Type="http://schemas.openxmlformats.org/officeDocument/2006/relationships/hyperlink" Id="rId21" Target="https://news.sap.com/2025/09/sap-leader-gartner-magic-quadrant-cloud-hcm-suites-1000-employee-enterprises/" TargetMode="External" /><Relationship Type="http://schemas.openxmlformats.org/officeDocument/2006/relationships/hyperlink" Id="rId19" Target="https://www.soltius.co.id/id/blog/sistem-hris-terbaik" TargetMode="External" /><Relationship Type="http://schemas.openxmlformats.org/officeDocument/2006/relationships/hyperlink" Id="rId22" Target="https://www.soltius.co.id/solutions-by-products/reading/success-factors" TargetMode="External" /></Relationships>
</file>

<file path=word/_rels/footnotes.xml.rels><?xml version="1.0" encoding="UTF-8"?><Relationships xmlns="http://schemas.openxmlformats.org/package/2006/relationships"><Relationship Type="http://schemas.openxmlformats.org/officeDocument/2006/relationships/hyperlink" Id="rId17" Target="https://news.sap.com/2023/12/sap-successfactors-employee-central-payroll-supports-50-locales/" TargetMode="External" /><Relationship Type="http://schemas.openxmlformats.org/officeDocument/2006/relationships/hyperlink" Id="rId21" Target="https://news.sap.com/2025/09/sap-leader-gartner-magic-quadrant-cloud-hcm-suites-1000-employee-enterprises/" TargetMode="External" /><Relationship Type="http://schemas.openxmlformats.org/officeDocument/2006/relationships/hyperlink" Id="rId19" Target="https://www.soltius.co.id/id/blog/sistem-hris-terbaik" TargetMode="External" /><Relationship Type="http://schemas.openxmlformats.org/officeDocument/2006/relationships/hyperlink" Id="rId22" Target="https://www.soltius.co.id/solutions-by-products/reading/success-fact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2026-07-17T17:24:54Z</dcterms:created>
  <dcterms:modified xsi:type="dcterms:W3CDTF">2026-07-17T17:24:54Z</dcterms:modified>
</cp:coreProperties>
</file>

<file path=docProps/custom.xml><?xml version="1.0" encoding="utf-8"?>
<Properties xmlns="http://schemas.openxmlformats.org/officeDocument/2006/custom-properties" xmlns:vt="http://schemas.openxmlformats.org/officeDocument/2006/docPropsVTypes"/>
</file>