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vs Private vs Hybrid Cloud: Perbedaan dan Cara Memilih"</w:t>
      </w:r>
      <w:r>
        <w:br/>
      </w:r>
      <w:r>
        <w:rPr>
          <w:rStyle w:val="FunctionTok"/>
        </w:rPr>
        <w:t xml:space="preserve">meta_title</w:t>
      </w:r>
      <w:r>
        <w:rPr>
          <w:rStyle w:val="KeywordTok"/>
        </w:rPr>
        <w:t xml:space="preserve">:</w:t>
      </w:r>
      <w:r>
        <w:rPr>
          <w:rStyle w:val="AttributeTok"/>
        </w:rPr>
        <w:t xml:space="preserve"> </w:t>
      </w:r>
      <w:r>
        <w:rPr>
          <w:rStyle w:val="StringTok"/>
        </w:rPr>
        <w:t xml:space="preserve">"Hybrid Cloud vs Public vs Private: Cara Memilih"</w:t>
      </w:r>
      <w:r>
        <w:br/>
      </w:r>
      <w:r>
        <w:rPr>
          <w:rStyle w:val="FunctionTok"/>
        </w:rPr>
        <w:t xml:space="preserve">meta_description</w:t>
      </w:r>
      <w:r>
        <w:rPr>
          <w:rStyle w:val="KeywordTok"/>
        </w:rPr>
        <w:t xml:space="preserve">:</w:t>
      </w:r>
      <w:r>
        <w:rPr>
          <w:rStyle w:val="AttributeTok"/>
        </w:rPr>
        <w:t xml:space="preserve"> </w:t>
      </w:r>
      <w:r>
        <w:rPr>
          <w:rStyle w:val="StringTok"/>
        </w:rPr>
        <w:t xml:space="preserve">"Bandingkan public, private, dan hybrid cloud lewat tabel head-to-head dan lima kriteria memilih, plus kaitannya dengan RISE with SAP untuk sistem inti."</w:t>
      </w:r>
      <w:r>
        <w:br/>
      </w:r>
      <w:r>
        <w:rPr>
          <w:rStyle w:val="FunctionTok"/>
        </w:rPr>
        <w:t xml:space="preserve">slug</w:t>
      </w:r>
      <w:r>
        <w:rPr>
          <w:rStyle w:val="KeywordTok"/>
        </w:rPr>
        <w:t xml:space="preserve">:</w:t>
      </w:r>
      <w:r>
        <w:rPr>
          <w:rStyle w:val="AttributeTok"/>
        </w:rPr>
        <w:t xml:space="preserve"> </w:t>
      </w:r>
      <w:r>
        <w:rPr>
          <w:rStyle w:val="StringTok"/>
        </w:rPr>
        <w:t xml:space="preserve">"public-private-hybrid-cloud-perbedaan-cara-memilih"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"hybrid cloud"</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"public private hybrid cloud"</w:t>
      </w:r>
      <w:r>
        <w:rPr>
          <w:rStyle w:val="KeywordTok"/>
        </w:rPr>
        <w:t xml:space="preserve">,</w:t>
      </w:r>
      <w:r>
        <w:rPr>
          <w:rStyle w:val="AttributeTok"/>
        </w:rPr>
        <w:t xml:space="preserve"> </w:t>
      </w:r>
      <w:r>
        <w:rPr>
          <w:rStyle w:val="StringTok"/>
        </w:rPr>
        <w:t xml:space="preserve">"model deployment cloud"</w:t>
      </w:r>
      <w:r>
        <w:rPr>
          <w:rStyle w:val="KeywordTok"/>
        </w:rPr>
        <w:t xml:space="preserve">,</w:t>
      </w:r>
      <w:r>
        <w:rPr>
          <w:rStyle w:val="AttributeTok"/>
        </w:rPr>
        <w:t xml:space="preserve"> </w:t>
      </w:r>
      <w:r>
        <w:rPr>
          <w:rStyle w:val="StringTok"/>
        </w:rPr>
        <w:t xml:space="preserve">"perbedaan public private hybrid cloud"</w:t>
      </w:r>
      <w:r>
        <w:rPr>
          <w:rStyle w:val="KeywordTok"/>
        </w:rPr>
        <w:t xml:space="preserve">,</w:t>
      </w:r>
      <w:r>
        <w:rPr>
          <w:rStyle w:val="AttributeTok"/>
        </w:rPr>
        <w:t xml:space="preserve"> </w:t>
      </w:r>
      <w:r>
        <w:rPr>
          <w:rStyle w:val="StringTok"/>
        </w:rPr>
        <w:t xml:space="preserve">"cara memilih model cloud"</w:t>
      </w:r>
      <w:r>
        <w:rPr>
          <w:rStyle w:val="KeywordTok"/>
        </w:rPr>
        <w:t xml:space="preserve">,</w:t>
      </w:r>
      <w:r>
        <w:rPr>
          <w:rStyle w:val="AttributeTok"/>
        </w:rPr>
        <w:t xml:space="preserve"> </w:t>
      </w:r>
      <w:r>
        <w:rPr>
          <w:rStyle w:val="StringTok"/>
        </w:rPr>
        <w:t xml:space="preserve">"multi-tenant vs single-tenant"</w:t>
      </w:r>
      <w:r>
        <w:rPr>
          <w:rStyle w:val="KeywordTok"/>
        </w:rPr>
        <w:t xml:space="preserve">,</w:t>
      </w:r>
      <w:r>
        <w:rPr>
          <w:rStyle w:val="AttributeTok"/>
        </w:rPr>
        <w:t xml:space="preserve"> </w:t>
      </w:r>
      <w:r>
        <w:rPr>
          <w:rStyle w:val="StringTok"/>
        </w:rPr>
        <w:t xml:space="preserve">"multicloud vs hybrid cloud"</w:t>
      </w:r>
      <w:r>
        <w:rPr>
          <w:rStyle w:val="KeywordTok"/>
        </w:rPr>
        <w:t xml:space="preserve">,</w:t>
      </w:r>
      <w:r>
        <w:rPr>
          <w:rStyle w:val="AttributeTok"/>
        </w:rPr>
        <w:t xml:space="preserve"> </w:t>
      </w:r>
      <w:r>
        <w:rPr>
          <w:rStyle w:val="StringTok"/>
        </w:rPr>
        <w:t xml:space="preserve">"kedaulatan data"</w:t>
      </w:r>
      <w:r>
        <w:rPr>
          <w:rStyle w:val="KeywordTok"/>
        </w:rPr>
        <w:t xml:space="preserve">,</w:t>
      </w:r>
      <w:r>
        <w:rPr>
          <w:rStyle w:val="AttributeTok"/>
        </w:rPr>
        <w:t xml:space="preserve"> </w:t>
      </w:r>
      <w:r>
        <w:rPr>
          <w:rStyle w:val="StringTok"/>
        </w:rPr>
        <w:t xml:space="preserve">"NIST SP 800-145"</w:t>
      </w:r>
      <w:r>
        <w:rPr>
          <w:rStyle w:val="KeywordTok"/>
        </w:rPr>
        <w:t xml:space="preserve">,</w:t>
      </w:r>
      <w:r>
        <w:rPr>
          <w:rStyle w:val="AttributeTok"/>
        </w:rPr>
        <w:t xml:space="preserve"> </w:t>
      </w:r>
      <w:r>
        <w:rPr>
          <w:rStyle w:val="StringTok"/>
        </w:rPr>
        <w:t xml:space="preserve">"SAP S/4HANA Cloud"</w:t>
      </w:r>
      <w:r>
        <w:rPr>
          <w:rStyle w:val="KeywordTok"/>
        </w:rPr>
        <w:t xml:space="preserve">,</w:t>
      </w:r>
      <w:r>
        <w:rPr>
          <w:rStyle w:val="AttributeTok"/>
        </w:rPr>
        <w:t xml:space="preserve"> </w:t>
      </w:r>
      <w:r>
        <w:rPr>
          <w:rStyle w:val="StringTok"/>
        </w:rPr>
        <w:t xml:space="preserve">"RISE with SAP"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"https://www.soltius.co.id/id/blog/cloud-computing-pengertian-jenis-layanan"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"jenis layanan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"https://nvlpubs.nist.gov/nistpubs/Legacy/SP/nistspecialpublication800-145.pdf"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"NIST SP 800-145: empat model deployment, private cloud boleh off-premise/pihak ketiga, definisi hybrid + cloud bursting"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"https://info.flexera.com/CM-REPORT-State-of-the-Cloud"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"Flexera 2026 State of the Cloud Report: 73% organisasi menjalankan hybrid cloud"</w:t>
      </w:r>
      <w:r>
        <w:br/>
      </w:r>
      <w:r>
        <w:rPr>
          <w:rStyle w:val="FunctionTok"/>
        </w:rPr>
        <w:t xml:space="preserve">brief_id</w:t>
      </w:r>
      <w:r>
        <w:rPr>
          <w:rStyle w:val="KeywordTok"/>
        </w:rPr>
        <w:t xml:space="preserve">:</w:t>
      </w:r>
      <w:r>
        <w:rPr>
          <w:rStyle w:val="AttributeTok"/>
        </w:rPr>
        <w:t xml:space="preserve"> </w:t>
      </w:r>
      <w:r>
        <w:rPr>
          <w:rStyle w:val="StringTok"/>
        </w:rPr>
        <w:t xml:space="preserve">"cloud-deployment-c01"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905</w:t>
      </w:r>
    </w:p>
    <w:p>
      <w:r>
        <w:pict>
          <v:rect style="width:0;height:1.5pt" o:hralign="center" o:hrstd="t" o:hr="t"/>
        </w:pict>
      </w:r>
    </w:p>
    <w:bookmarkEnd w:id="16"/>
    <w:bookmarkStart w:id="29" w:name="Xdee96f6e68d002f36820008cf02ace230de470a"/>
    <w:p>
      <w:pPr>
        <w:pStyle w:val="Heading1"/>
      </w:pPr>
      <w:r>
        <w:t xml:space="preserve">Public vs Private vs Hybrid Cloud: Perbedaan dan Cara Memilih</w:t>
      </w:r>
    </w:p>
    <w:p>
      <w:pPr>
        <w:pStyle w:val="FirstParagraph"/>
      </w:pPr>
      <w:r>
        <w:t xml:space="preserve">Vendor kerap melempar tiga istilah dalam satu tarikan napas: public cloud, private cloud, hybrid cloud. Bagi tim yang menyusun arsitektur, pilihan public private hybrid cloud ini bukan sekadar jargon. Ia menentukan di mana data sensitif boleh berada, berapa besar biaya, dan seberapa cepat kapasitas bisa naik-turun. Artikel ini membandingkan ketiganya berdampingan lalu memberi kerangka memilih, sebagai pendalaman dari pembahasan</w:t>
      </w:r>
      <w:r>
        <w:t xml:space="preserve"> </w:t>
      </w:r>
      <w:hyperlink r:id="rId17">
        <w:r>
          <w:rPr>
            <w:rStyle w:val="Hyperlink"/>
          </w:rPr>
          <w:t xml:space="preserve">jenis layanan cloud</w:t>
        </w:r>
      </w:hyperlink>
      <w:r>
        <w:t xml:space="preserve">.</w:t>
      </w:r>
    </w:p>
    <w:p>
      <w:pPr>
        <w:pStyle w:val="BlockText"/>
      </w:pPr>
      <w:r>
        <w:rPr>
          <w:b/>
          <w:bCs/>
        </w:rPr>
        <w:t xml:space="preserve">Ringkasnya:</w:t>
      </w:r>
      <w:r>
        <w:t xml:space="preserve"> </w:t>
      </w:r>
      <w:r>
        <w:t xml:space="preserve">public cloud, private cloud, dan hybrid cloud adalah tiga model deployment cloud menurut NIST SP 800-145. Public cloud memakai sumber daya bersama milik penyedia (multi-tenant); private cloud didedikasikan untuk satu organisasi (single-tenant); hybrid cloud menghubungkan keduanya agar data dan aplikasi dapat berpindah antar-lingkungan.</w:t>
      </w:r>
    </w:p>
    <w:bookmarkStart w:id="19" w:name="X9201bd1535165ed437c5d61895e03ed58243c53"/>
    <w:p>
      <w:pPr>
        <w:pStyle w:val="Heading2"/>
      </w:pPr>
      <w:r>
        <w:t xml:space="preserve">Public vs Private vs Hybrid Cloud: Perbandingan Head-to-Head</w:t>
      </w:r>
    </w:p>
    <w:p>
      <w:pPr>
        <w:pStyle w:val="FirstParagraph"/>
      </w:pPr>
      <w:r>
        <w:t xml:space="preserve">Ketiga model tidak berbeda hanya pada</w:t>
      </w:r>
      <w:r>
        <w:t xml:space="preserve"> </w:t>
      </w:r>
      <w:r>
        <w:t xml:space="preserve">“berbagi versus privat”</w:t>
      </w:r>
      <w:r>
        <w:t xml:space="preserve">. Mereka berbeda sekaligus pada beberapa dimensi keputusan: tenancy, kontrol dan kustomisasi, lokasi serta kedaulatan data, profil biaya, latency, dan skalabilitas. Karena itu perbandingan yang berguna bukan definisi tiga blok, melainkan pemetaan baris-per-baris sesuai kebutuhan beban kerja 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Public cloud</w:t>
            </w:r>
          </w:p>
        </w:tc>
        <w:tc>
          <w:tcPr/>
          <w:p>
            <w:pPr>
              <w:pStyle w:val="Compact"/>
            </w:pPr>
            <w:r>
              <w:t xml:space="preserve">Private cloud</w:t>
            </w:r>
          </w:p>
        </w:tc>
        <w:tc>
          <w:tcPr/>
          <w:p>
            <w:pPr>
              <w:pStyle w:val="Compact"/>
            </w:pPr>
            <w:r>
              <w:t xml:space="preserve">Hybrid cloud</w:t>
            </w:r>
          </w:p>
        </w:tc>
      </w:tr>
      <w:tr>
        <w:tc>
          <w:tcPr/>
          <w:p>
            <w:pPr>
              <w:pStyle w:val="Compact"/>
            </w:pPr>
            <w:r>
              <w:t xml:space="preserve">Tenancy</w:t>
            </w:r>
            <w:r>
              <w:t xml:space="preserve"> </w:t>
            </w:r>
            <w:r>
              <w:rPr>
                <w:i/>
                <w:iCs/>
              </w:rPr>
              <w:t xml:space="preserve">(NIST)</w:t>
            </w:r>
          </w:p>
        </w:tc>
        <w:tc>
          <w:tcPr/>
          <w:p>
            <w:pPr>
              <w:pStyle w:val="Compact"/>
            </w:pPr>
            <w:r>
              <w:t xml:space="preserve">Multi-tenant, dibagi banyak organisasi</w:t>
            </w:r>
          </w:p>
        </w:tc>
        <w:tc>
          <w:tcPr/>
          <w:p>
            <w:pPr>
              <w:pStyle w:val="Compact"/>
            </w:pPr>
            <w:r>
              <w:t xml:space="preserve">Single-tenant, didedikasikan satu organisasi</w:t>
            </w:r>
          </w:p>
        </w:tc>
        <w:tc>
          <w:tcPr/>
          <w:p>
            <w:pPr>
              <w:pStyle w:val="Compact"/>
            </w:pPr>
            <w:r>
              <w:t xml:space="preserve">Kombinasi keduanya, saling terhubung</w:t>
            </w:r>
          </w:p>
        </w:tc>
      </w:tr>
      <w:tr>
        <w:tc>
          <w:tcPr/>
          <w:p>
            <w:pPr>
              <w:pStyle w:val="Compact"/>
            </w:pPr>
            <w:r>
              <w:t xml:space="preserve">Lokasi &amp; kedaulatan data</w:t>
            </w:r>
          </w:p>
        </w:tc>
        <w:tc>
          <w:tcPr/>
          <w:p>
            <w:pPr>
              <w:pStyle w:val="Compact"/>
            </w:pPr>
            <w:r>
              <w:t xml:space="preserve">Di premis penyedia</w:t>
            </w:r>
          </w:p>
        </w:tc>
        <w:tc>
          <w:tcPr/>
          <w:p>
            <w:pPr>
              <w:pStyle w:val="Compact"/>
            </w:pPr>
            <w:r>
              <w:t xml:space="preserve">On-premise atau off-premise, bisa pihak ketiga</w:t>
            </w:r>
          </w:p>
        </w:tc>
        <w:tc>
          <w:tcPr/>
          <w:p>
            <w:pPr>
              <w:pStyle w:val="Compact"/>
            </w:pPr>
            <w:r>
              <w:t xml:space="preserve">Data sensitif ditahan di sisi private</w:t>
            </w:r>
          </w:p>
        </w:tc>
      </w:tr>
      <w:tr>
        <w:tc>
          <w:tcPr/>
          <w:p>
            <w:pPr>
              <w:pStyle w:val="Compact"/>
            </w:pPr>
            <w:r>
              <w:t xml:space="preserve">Kontrol &amp; kustomisasi</w:t>
            </w:r>
          </w:p>
        </w:tc>
        <w:tc>
          <w:tcPr/>
          <w:p>
            <w:pPr>
              <w:pStyle w:val="Compact"/>
            </w:pPr>
            <w:r>
              <w:t xml:space="preserve">Paling rendah (standar penyedia)</w:t>
            </w:r>
          </w:p>
        </w:tc>
        <w:tc>
          <w:tcPr/>
          <w:p>
            <w:pPr>
              <w:pStyle w:val="Compact"/>
            </w:pPr>
            <w:r>
              <w:t xml:space="preserve">Paling tinggi (kendali penuh)</w:t>
            </w:r>
          </w:p>
        </w:tc>
        <w:tc>
          <w:tcPr/>
          <w:p>
            <w:pPr>
              <w:pStyle w:val="Compact"/>
            </w:pPr>
            <w:r>
              <w:t xml:space="preserve">Per beban kerja</w:t>
            </w:r>
          </w:p>
        </w:tc>
      </w:tr>
      <w:tr>
        <w:tc>
          <w:tcPr/>
          <w:p>
            <w:pPr>
              <w:pStyle w:val="Compact"/>
            </w:pPr>
            <w:r>
              <w:t xml:space="preserve">Profil biaya</w:t>
            </w:r>
          </w:p>
        </w:tc>
        <w:tc>
          <w:tcPr/>
          <w:p>
            <w:pPr>
              <w:pStyle w:val="Compact"/>
            </w:pPr>
            <w:r>
              <w:t xml:space="preserve">OpEx, bayar sesuai pemakaian</w:t>
            </w:r>
          </w:p>
        </w:tc>
        <w:tc>
          <w:tcPr/>
          <w:p>
            <w:pPr>
              <w:pStyle w:val="Compact"/>
            </w:pPr>
            <w:r>
              <w:t xml:space="preserve">Komitmen/CapEx lebih besar di muka</w:t>
            </w:r>
          </w:p>
        </w:tc>
        <w:tc>
          <w:tcPr/>
          <w:p>
            <w:pPr>
              <w:pStyle w:val="Compact"/>
            </w:pPr>
            <w:r>
              <w:t xml:space="preserve">Campuran</w:t>
            </w:r>
          </w:p>
        </w:tc>
      </w:tr>
      <w:tr>
        <w:tc>
          <w:tcPr/>
          <w:p>
            <w:pPr>
              <w:pStyle w:val="Compact"/>
            </w:pPr>
            <w:r>
              <w:t xml:space="preserve">Latency &amp; kontrol lokasi</w:t>
            </w:r>
          </w:p>
        </w:tc>
        <w:tc>
          <w:tcPr/>
          <w:p>
            <w:pPr>
              <w:pStyle w:val="Compact"/>
            </w:pPr>
            <w:r>
              <w:t xml:space="preserve">Bergantung region penyedia</w:t>
            </w:r>
          </w:p>
        </w:tc>
        <w:tc>
          <w:tcPr/>
          <w:p>
            <w:pPr>
              <w:pStyle w:val="Compact"/>
            </w:pPr>
            <w:r>
              <w:t xml:space="preserve">Dapat didekatkan ke pengguna/pabrik</w:t>
            </w:r>
          </w:p>
        </w:tc>
        <w:tc>
          <w:tcPr/>
          <w:p>
            <w:pPr>
              <w:pStyle w:val="Compact"/>
            </w:pPr>
            <w:r>
              <w:t xml:space="preserve">Beban latency-sensitif di private/edge</w:t>
            </w:r>
          </w:p>
        </w:tc>
      </w:tr>
      <w:tr>
        <w:tc>
          <w:tcPr/>
          <w:p>
            <w:pPr>
              <w:pStyle w:val="Compact"/>
            </w:pPr>
            <w:r>
              <w:t xml:space="preserve">Skalabilitas</w:t>
            </w:r>
          </w:p>
        </w:tc>
        <w:tc>
          <w:tcPr/>
          <w:p>
            <w:pPr>
              <w:pStyle w:val="Compact"/>
            </w:pPr>
            <w:r>
              <w:t xml:space="preserve">Paling elastis dan cepat</w:t>
            </w:r>
          </w:p>
        </w:tc>
        <w:tc>
          <w:tcPr/>
          <w:p>
            <w:pPr>
              <w:pStyle w:val="Compact"/>
            </w:pPr>
            <w:r>
              <w:t xml:space="preserve">Terbatas kapasitas terpasang</w:t>
            </w:r>
          </w:p>
        </w:tc>
        <w:tc>
          <w:tcPr/>
          <w:p>
            <w:pPr>
              <w:pStyle w:val="Compact"/>
            </w:pPr>
            <w:r>
              <w:t xml:space="preserve">Elastis di sisi public (</w:t>
            </w:r>
            <w:r>
              <w:rPr>
                <w:i/>
                <w:iCs/>
              </w:rPr>
              <w:t xml:space="preserve">cloud bursting</w:t>
            </w:r>
            <w:r>
              <w:t xml:space="preserve">)</w:t>
            </w:r>
          </w:p>
        </w:tc>
      </w:tr>
      <w:tr>
        <w:tc>
          <w:tcPr/>
          <w:p>
            <w:pPr>
              <w:pStyle w:val="Compact"/>
            </w:pPr>
            <w:r>
              <w:t xml:space="preserve">Paling cocok saat</w:t>
            </w:r>
          </w:p>
        </w:tc>
        <w:tc>
          <w:tcPr/>
          <w:p>
            <w:pPr>
              <w:pStyle w:val="Compact"/>
            </w:pPr>
            <w:r>
              <w:t xml:space="preserve">Beban fluktuatif, butuh cepat</w:t>
            </w:r>
          </w:p>
        </w:tc>
        <w:tc>
          <w:tcPr/>
          <w:p>
            <w:pPr>
              <w:pStyle w:val="Compact"/>
            </w:pPr>
            <w:r>
              <w:t xml:space="preserve">Regulasi/kontrol ketat, beban stabil</w:t>
            </w:r>
          </w:p>
        </w:tc>
        <w:tc>
          <w:tcPr/>
          <w:p>
            <w:pPr>
              <w:pStyle w:val="Compact"/>
            </w:pPr>
            <w:r>
              <w:t xml:space="preserve">Sebagian data terkendali, sisanya elastis</w:t>
            </w:r>
          </w:p>
        </w:tc>
      </w:tr>
    </w:tbl>
    <w:p>
      <w:pPr>
        <w:pStyle w:val="BodyText"/>
      </w:pPr>
      <w:r>
        <w:t xml:space="preserve">Dua hal sering salah kaprah. Pertama, private cloud tidak identik dengan server di kantor sendiri.</w:t>
      </w:r>
      <w:r>
        <w:t xml:space="preserve"> </w:t>
      </w:r>
      <w:hyperlink r:id="rId18">
        <w:r>
          <w:rPr>
            <w:rStyle w:val="Hyperlink"/>
          </w:rPr>
          <w:t xml:space="preserve">NIST SP 800-145</w:t>
        </w:r>
      </w:hyperlink>
      <w:r>
        <w:t xml:space="preserve">, standar rujukan yang terbit September 2011 dan memuat empat model deployment serta tiga model layanan, menyatakan private cloud boleh berada on-premise atau off-premise dan dioperasikan pihak ketiga; yang menentukan adalah dedikasinya untuk satu organisasi.</w:t>
      </w:r>
    </w:p>
    <w:p>
      <w:pPr>
        <w:pStyle w:val="BodyText"/>
      </w:pPr>
      <w:r>
        <w:t xml:space="preserve">Kedua, NIST juga mencantumkan</w:t>
      </w:r>
      <w:r>
        <w:t xml:space="preserve"> </w:t>
      </w:r>
      <w:r>
        <w:rPr>
          <w:i/>
          <w:iCs/>
        </w:rPr>
        <w:t xml:space="preserve">community cloud</w:t>
      </w:r>
      <w:r>
        <w:t xml:space="preserve"> </w:t>
      </w:r>
      <w:r>
        <w:t xml:space="preserve">sebagai model keempat, meski jarang dipakai komersial di Indonesia.</w:t>
      </w:r>
    </w:p>
    <w:bookmarkEnd w:id="19"/>
    <w:bookmarkStart w:id="21" w:name="X63de4fbd2d24a7bdeedb3f237bdc04b687f11b3"/>
    <w:p>
      <w:pPr>
        <w:pStyle w:val="Heading2"/>
      </w:pPr>
      <w:r>
        <w:t xml:space="preserve">Bagaimana Cara Memilih Model Cloud yang Tepat?</w:t>
      </w:r>
    </w:p>
    <w:p>
      <w:pPr>
        <w:pStyle w:val="FirstParagraph"/>
      </w:pPr>
      <w:r>
        <w:t xml:space="preserve">Tentukan per beban kerja, bukan satu keputusan untuk seluruh perusahaan. Timbang lima kriteria: kedaulatan atau kepatuhan data, biaya, latency, kontrol, dan skalabilitas. Beban yang sama di dua perusahaan bisa berujung model berbeda karena bobot kelima kriteria itu tidak sama. Berikut titik awal praktisnya.</w:t>
      </w:r>
    </w:p>
    <w:p>
      <w:pPr>
        <w:pStyle w:val="Compact"/>
        <w:numPr>
          <w:ilvl w:val="0"/>
          <w:numId w:val="1001"/>
        </w:numPr>
      </w:pPr>
      <w:r>
        <w:rPr>
          <w:b/>
          <w:bCs/>
        </w:rPr>
        <w:t xml:space="preserve">Pilih public cloud jika</w:t>
      </w:r>
      <w:r>
        <w:t xml:space="preserve"> </w:t>
      </w:r>
      <w:r>
        <w:t xml:space="preserve">beban fluktuatif, butuh disediakan cepat, dan datanya tidak terikat kewajiban lokasi.</w:t>
      </w:r>
    </w:p>
    <w:p>
      <w:pPr>
        <w:pStyle w:val="Compact"/>
        <w:numPr>
          <w:ilvl w:val="0"/>
          <w:numId w:val="1001"/>
        </w:numPr>
      </w:pPr>
      <w:r>
        <w:rPr>
          <w:b/>
          <w:bCs/>
        </w:rPr>
        <w:t xml:space="preserve">Pilih private cloud jika</w:t>
      </w:r>
      <w:r>
        <w:t xml:space="preserve"> </w:t>
      </w:r>
      <w:r>
        <w:t xml:space="preserve">kontrol dan kepatuhan ketat, beban relatif stabil, dan data sensitif wajib dikendalikan penuh.</w:t>
      </w:r>
    </w:p>
    <w:p>
      <w:pPr>
        <w:pStyle w:val="Compact"/>
        <w:numPr>
          <w:ilvl w:val="0"/>
          <w:numId w:val="1001"/>
        </w:numPr>
      </w:pPr>
      <w:r>
        <w:rPr>
          <w:b/>
          <w:bCs/>
        </w:rPr>
        <w:t xml:space="preserve">Pilih hybrid cloud jika</w:t>
      </w:r>
      <w:r>
        <w:t xml:space="preserve"> </w:t>
      </w:r>
      <w:r>
        <w:t xml:space="preserve">sebagian data wajib tetap terkendali sementara beban lain butuh elastisitas. Ini pola paling umum di enterprise.</w:t>
      </w:r>
    </w:p>
    <w:p>
      <w:pPr>
        <w:pStyle w:val="FirstParagraph"/>
      </w:pPr>
      <w:r>
        <w:t xml:space="preserve">Kewajiban perlindungan data pribadi, khususnya UU No. 27 Tahun 2022, kerap mendorong beban tertentu ke arah private atau hybrid, terutama di keuangan dan kesehatan. Pola hybrid inilah yang kini dominan: menurut</w:t>
      </w:r>
      <w:r>
        <w:t xml:space="preserve"> </w:t>
      </w:r>
      <w:hyperlink r:id="rId20">
        <w:r>
          <w:rPr>
            <w:rStyle w:val="Hyperlink"/>
          </w:rPr>
          <w:t xml:space="preserve">Flexera 2026 State of the Cloud Report</w:t>
        </w:r>
      </w:hyperlink>
      <w:r>
        <w:t xml:space="preserve">, 73% organisasi menjalankan hybrid, naik sekitar tiga poin dibanding tahun sebelumnya.</w:t>
      </w:r>
    </w:p>
    <w:bookmarkEnd w:id="21"/>
    <w:bookmarkStart w:id="23" w:name="X90a33ddad1b2917f1e403430f3e81fe17f518de"/>
    <w:p>
      <w:pPr>
        <w:pStyle w:val="Heading2"/>
      </w:pPr>
      <w:r>
        <w:t xml:space="preserve">Apa Kaitan Model Deployment dengan RISE with SAP?</w:t>
      </w:r>
    </w:p>
    <w:p>
      <w:pPr>
        <w:pStyle w:val="FirstParagraph"/>
      </w:pPr>
      <w:r>
        <w:t xml:space="preserve">Begitu yang dipindah adalah sistem inti, yaitu ERP yang menjalankan keuangan, persediaan, dan produksi, pilihan deployment menentukan ruang kustomisasi, jalur kepatuhan, dan rencana</w:t>
      </w:r>
      <w:r>
        <w:t xml:space="preserve"> </w:t>
      </w:r>
      <w:r>
        <w:rPr>
          <w:i/>
          <w:iCs/>
        </w:rPr>
        <w:t xml:space="preserve">downtime</w:t>
      </w:r>
      <w:r>
        <w:t xml:space="preserve">. Di lanskap SAP, program RISE with SAP mengantar SAP S/4HANA Cloud dalam dua edisi yang memetakan sumbu ini secara langsung.</w:t>
      </w:r>
    </w:p>
    <w:p>
      <w:pPr>
        <w:pStyle w:val="BodyText"/>
      </w:pPr>
      <w:r>
        <w:t xml:space="preserve">Private Edition bersifat single-tenant dengan ruang kustomisasi lebih luas dan kontrol jadwal upgrade di tangan pelanggan; Public Edition bersifat multi-tenant SaaS dengan upgrade otomatis dua kali setahun. Bagi perusahaan yang merencanakan langkah ini,</w:t>
      </w:r>
      <w:r>
        <w:t xml:space="preserve"> </w:t>
      </w:r>
      <w:hyperlink r:id="rId22">
        <w:r>
          <w:rPr>
            <w:rStyle w:val="Hyperlink"/>
          </w:rPr>
          <w:t xml:space="preserve">migrasi ERP ke cloud</w:t>
        </w:r>
      </w:hyperlink>
      <w:r>
        <w:t xml:space="preserve"> </w:t>
      </w:r>
      <w:r>
        <w:t xml:space="preserve">menjadi kelanjutan logis dari keputusan deployment.</w:t>
      </w:r>
    </w:p>
    <w:p>
      <w:pPr>
        <w:pStyle w:val="BodyText"/>
      </w:pPr>
      <w:r>
        <w:t xml:space="preserve">Dua catatan jujur. Hybrid bukan otomatis</w:t>
      </w:r>
      <w:r>
        <w:t xml:space="preserve"> </w:t>
      </w:r>
      <w:r>
        <w:t xml:space="preserve">“the best of both worlds”</w:t>
      </w:r>
      <w:r>
        <w:t xml:space="preserve">; ia menambah kompleksitas integrasi, tata kelola dua lingkungan, dan biaya pengelolaan.</w:t>
      </w:r>
    </w:p>
    <w:p>
      <w:pPr>
        <w:pStyle w:val="BodyText"/>
      </w:pPr>
      <w:r>
        <w:t xml:space="preserve">Hybrid juga berbeda dari multicloud: hybrid mencampur public dan private yang terhubung, sedangkan multicloud memakai beberapa public cloud sekaligus dan bisa tanpa private sama sekali. Keduanya sering tertukar.</w:t>
      </w:r>
    </w:p>
    <w:bookmarkEnd w:id="23"/>
    <w:bookmarkStart w:id="27" w:name="faq-pertanyaan-yang-sering-diajukan"/>
    <w:p>
      <w:pPr>
        <w:pStyle w:val="Heading2"/>
      </w:pPr>
      <w:r>
        <w:t xml:space="preserve">FAQ (Pertanyaan yang Sering Diajukan)</w:t>
      </w:r>
    </w:p>
    <w:bookmarkStart w:id="24" w:name="apa-bedanya-hybrid-cloud-dan-multicloud"/>
    <w:p>
      <w:pPr>
        <w:pStyle w:val="Heading3"/>
      </w:pPr>
      <w:r>
        <w:t xml:space="preserve">Apa bedanya hybrid cloud dan multicloud?</w:t>
      </w:r>
    </w:p>
    <w:p>
      <w:pPr>
        <w:pStyle w:val="FirstParagraph"/>
      </w:pPr>
      <w:r>
        <w:t xml:space="preserve">Hybrid cloud menggabungkan public dan private cloud yang terhubung agar beban kerja bisa berpindah; multicloud memakai beberapa public cloud dari penyedia berbeda, bahkan bisa tanpa private sama sekali. Menurut Flexera 2026, hybrid dipakai 73% organisasi, sedangkan hanya sekitar 14% murni multicloud. Satu perusahaan bisa keduanya sekaligus.</w:t>
      </w:r>
    </w:p>
    <w:bookmarkEnd w:id="24"/>
    <w:bookmarkStart w:id="25" w:name="Xac0bf9c97f5dac1ce989c6718c12574f4f8c653"/>
    <w:p>
      <w:pPr>
        <w:pStyle w:val="Heading3"/>
      </w:pPr>
      <w:r>
        <w:t xml:space="preserve">Model cloud mana yang paling aman: public, private, atau hybrid?</w:t>
      </w:r>
    </w:p>
    <w:p>
      <w:pPr>
        <w:pStyle w:val="FirstParagraph"/>
      </w:pPr>
      <w:r>
        <w:t xml:space="preserve">Tidak ada model yang paling aman secara bawaan. Keamanan ditentukan konfigurasi, pembagian tanggung jawab, dan kepatuhan. Private atau hybrid kerap dipilih untuk data sensitif karena kendali lokasi data, relevan dengan UU No. 27 Tahun 2022 tentang Pelindungan Data Pribadi. Data dan identitas tetap tanggung jawab perusahaan di model mana pun.</w:t>
      </w:r>
    </w:p>
    <w:bookmarkEnd w:id="25"/>
    <w:bookmarkStart w:id="26" w:name="X6fc2149ede8cae3a8f0edf35d9f30b65e224c05"/>
    <w:p>
      <w:pPr>
        <w:pStyle w:val="Heading3"/>
      </w:pPr>
      <w:r>
        <w:t xml:space="preserve">Apakah private cloud selalu berada di kantor sendiri?</w:t>
      </w:r>
    </w:p>
    <w:p>
      <w:pPr>
        <w:pStyle w:val="FirstParagraph"/>
      </w:pPr>
      <w:r>
        <w:t xml:space="preserve">Tidak. Menurut NIST SP 800-145, private cloud boleh berada on-premise atau off-premise dan dapat dioperasikan pihak ketiga. Yang menentukan adalah dedikasinya untuk satu organisasi (single-tenant), bukan lokasi fisik servernya; private yang dihosting di data center penyedia pun tetap tergolong private selama dipakai eksklusif oleh satu organisasi.</w:t>
      </w:r>
    </w:p>
    <w:bookmarkEnd w:id="26"/>
    <w:bookmarkEnd w:id="27"/>
    <w:bookmarkStart w:id="28" w:name="kesimpulan"/>
    <w:p>
      <w:pPr>
        <w:pStyle w:val="Heading2"/>
      </w:pPr>
      <w:r>
        <w:t xml:space="preserve">Kesimpulan</w:t>
      </w:r>
    </w:p>
    <w:p>
      <w:pPr>
        <w:pStyle w:val="FirstParagraph"/>
      </w:pPr>
      <w:r>
        <w:t xml:space="preserve">Pertanyaan yang menentukan bukan</w:t>
      </w:r>
      <w:r>
        <w:t xml:space="preserve"> </w:t>
      </w:r>
      <w:r>
        <w:t xml:space="preserve">“public, private, atau hybrid”</w:t>
      </w:r>
      <w:r>
        <w:t xml:space="preserve"> </w:t>
      </w:r>
      <w:r>
        <w:t xml:space="preserve">secara umum, melainkan model mana untuk beban kerja mana, ditimbang lewat kedaulatan data, biaya, latency, kontrol, dan skalabilitas. Untuk sistem inti, taruhannya paling besar. Sebagai Best RISE &amp; Best Cloud Partner (2021) dan berpengalaman sejak 1998, Soltius mendampingi perpindahan sistem inti ke cloud lewat RISE with SAP dan layanan Migration, memetakan setiap beban ke model hybrid cloud atau lainnya yang paling tepat.</w:t>
      </w:r>
    </w:p>
    <w:p>
      <w:pPr>
        <w:pStyle w:val="BodyText"/>
      </w:pPr>
      <w:r>
        <w:t xml:space="preserve">Untuk mendiskusikan model deployment yang paling sesuai bagi beban kerja dan sistem inti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info.flexera.com/CM-REPORT-State-of-the-Cloud"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17" Target="https://www.soltius.co.id/id/blog/cloud-computing-pengertian-jenis-layanan"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info.flexera.com/CM-REPORT-State-of-the-Cloud"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17" Target="https://www.soltius.co.id/id/blog/cloud-computing-pengertian-jenis-layanan"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2026-09-01T01:40:28Z</dcterms:created>
  <dcterms:modified xsi:type="dcterms:W3CDTF">2026-09-01T01:40:28Z</dcterms:modified>
</cp:coreProperties>
</file>

<file path=docProps/custom.xml><?xml version="1.0" encoding="utf-8"?>
<Properties xmlns="http://schemas.openxmlformats.org/officeDocument/2006/custom-properties" xmlns:vt="http://schemas.openxmlformats.org/officeDocument/2006/docPropsVTypes"/>
</file>