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article-metadata"/>
    <w:p>
      <w:pPr>
        <w:pStyle w:val="Heading1"/>
      </w:pPr>
      <w:r>
        <w:t xml:space="preserve">Article Metadata</w:t>
      </w:r>
    </w:p>
    <w:p>
      <w:pPr>
        <w:pStyle w:val="SourceCode"/>
      </w:pP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"2027 Sudah Dekat: Mengapa Migrasi SAP Sebaiknya Dimulai 2026"</w:t>
      </w:r>
      <w:r>
        <w:br/>
      </w:r>
      <w:r>
        <w:rPr>
          <w:rStyle w:val="FunctionTok"/>
        </w:rPr>
        <w:t xml:space="preserve">meta_title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"Migrasi SAP 2026: Mengapa Mulai Sekarang, Bukan 2027"</w:t>
      </w:r>
      <w:r>
        <w:br/>
      </w:r>
      <w:r>
        <w:rPr>
          <w:rStyle w:val="FunctionTok"/>
        </w:rPr>
        <w:t xml:space="preserve">meta_description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"Migrasi SAP 2026: runway 18–36 bulan vs tenggat ECC 31 Des 2027 membuat menunda mahal. Simak alasan memulai tahun ini dan kaitannya ke RISE with SAP."</w:t>
      </w:r>
      <w:r>
        <w:br/>
      </w:r>
      <w:r>
        <w:rPr>
          <w:rStyle w:val="FunctionTok"/>
        </w:rPr>
        <w:t xml:space="preserve">slug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"migrasi-sap-2026-mengapa-mulai-sekarang"</w:t>
      </w:r>
      <w:r>
        <w:br/>
      </w:r>
      <w:r>
        <w:rPr>
          <w:rStyle w:val="FunctionTok"/>
        </w:rPr>
        <w:t xml:space="preserve">language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"id"</w:t>
      </w:r>
      <w:r>
        <w:br/>
      </w:r>
      <w:r>
        <w:rPr>
          <w:rStyle w:val="FunctionTok"/>
        </w:rPr>
        <w:t xml:space="preserve">primary_keyword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"migrasi sap 2026"</w:t>
      </w:r>
      <w:r>
        <w:br/>
      </w:r>
      <w:r>
        <w:rPr>
          <w:rStyle w:val="FunctionTok"/>
        </w:rPr>
        <w:t xml:space="preserve">secondary_keywords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"kapan migrasi s4hana"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"deadline SAP ECC 2027"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"SAP ECC end of maintenance"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"migrasi ke SAP S/4HANA"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"RISE with SAP"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"runway migrasi 18-36 bulan"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"extended maintenance SAP"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"SAP Compatibility Packs"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"kapasitas system integrator SAP"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"SAP Readiness Check"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internal_links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"https://www.soltius.co.id/id/blog/migrasi-erp-ke-cloud"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anchor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"migrasi ERP ke cloud"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"https://www.soltius.co.id/id/blog/RISE-With-SAP-Untuk-ERP-Enterprise"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anchor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"RISE with SAP"</w:t>
      </w:r>
      <w:r>
        <w:br/>
      </w:r>
      <w:r>
        <w:rPr>
          <w:rStyle w:val="FunctionTok"/>
        </w:rPr>
        <w:t xml:space="preserve">external_citations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"https://news.sap.com/2025/12/sap-announced-final-transition-period-for-compatibility-packs-for-sap-s-4hana-on-premise/"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"SAP resmi: tenggat hak pakai SAP Compatibility Packs untuk S/4HANA on-premise berakhir akhir Mei 2026 lewat masa transisi final (SAP Note 2269324)"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"https://www.cio.com/article/4000543/nearly-half-of-sap-ecc-customers-may-stick-with-legacy-erp-beyond-2027.html"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"Gartner via CIO.com: per akhir 2024 baru 39% (~14.000) dari ~35.000 pelanggan ECC yang migrasi; ~17.000 diproyeksikan masih ECC pada 2027"</w:t>
      </w:r>
      <w:r>
        <w:br/>
      </w:r>
      <w:r>
        <w:rPr>
          <w:rStyle w:val="FunctionTok"/>
        </w:rPr>
        <w:t xml:space="preserve">brief_id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"migrasi-sap-2026-c01"</w:t>
      </w:r>
      <w:r>
        <w:br/>
      </w:r>
      <w:r>
        <w:rPr>
          <w:rStyle w:val="FunctionTok"/>
        </w:rPr>
        <w:t xml:space="preserve">target_word_count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900</w:t>
      </w:r>
      <w:r>
        <w:br/>
      </w:r>
      <w:r>
        <w:rPr>
          <w:rStyle w:val="FunctionTok"/>
        </w:rPr>
        <w:t xml:space="preserve">publish_month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"2026-09"</w:t>
      </w:r>
      <w:r>
        <w:br/>
      </w:r>
      <w:r>
        <w:rPr>
          <w:rStyle w:val="FunctionTok"/>
        </w:rPr>
        <w:t xml:space="preserve">word_count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859</w:t>
      </w:r>
    </w:p>
    <w:p>
      <w:r>
        <w:pict>
          <v:rect style="width:0;height:1.5pt" o:hralign="center" o:hrstd="t" o:hr="t"/>
        </w:pict>
      </w:r>
    </w:p>
    <w:bookmarkEnd w:id="16"/>
    <w:bookmarkStart w:id="29" w:name="X8a06aed183c31ee180b6c5aca5d514a99cf13f0"/>
    <w:p>
      <w:pPr>
        <w:pStyle w:val="Heading1"/>
      </w:pPr>
      <w:r>
        <w:t xml:space="preserve">2027 Sudah Dekat: Mengapa Migrasi SAP Sebaiknya Dimulai 2026</w:t>
      </w:r>
    </w:p>
    <w:p>
      <w:pPr>
        <w:pStyle w:val="FirstParagraph"/>
      </w:pPr>
      <w:r>
        <w:t xml:space="preserve">Seorang CIO yang menjalankan SAP ECC (</w:t>
      </w:r>
      <w:r>
        <w:rPr>
          <w:i/>
          <w:iCs/>
        </w:rPr>
        <w:t xml:space="preserve">SAP ERP Central Component</w:t>
      </w:r>
      <w:r>
        <w:t xml:space="preserve">) sudah tahu tenggat 2027 itu ada. Yang belum tuntas dijawab justru yang paling menentukan anggaran: kenapa harus mulai tahun ini, bukan tahun depan. Artikel ini membedah aritmetika waktu di balik migrasi SAP 2026 dan kaitannya dengan keputusan</w:t>
      </w:r>
      <w:r>
        <w:t xml:space="preserve"> </w:t>
      </w:r>
      <w:hyperlink r:id="rId17">
        <w:r>
          <w:rPr>
            <w:rStyle w:val="Hyperlink"/>
          </w:rPr>
          <w:t xml:space="preserve">migrasi ERP ke cloud</w:t>
        </w:r>
      </w:hyperlink>
      <w:r>
        <w:t xml:space="preserve"> </w:t>
      </w:r>
      <w:r>
        <w:t xml:space="preserve">yang tidak bisa lagi ditunda.</w:t>
      </w:r>
    </w:p>
    <w:p>
      <w:pPr>
        <w:pStyle w:val="BlockText"/>
      </w:pPr>
      <w:r>
        <w:rPr>
          <w:b/>
          <w:bCs/>
        </w:rPr>
        <w:t xml:space="preserve">Ringkasnya:</w:t>
      </w:r>
      <w:r>
        <w:t xml:space="preserve"> </w:t>
      </w:r>
      <w:r>
        <w:t xml:space="preserve">Migrasi SAP 2026 adalah keputusan memindahkan sistem lama SAP ECC ke SAP S/4HANA mulai tahun ini, bukan menunggu. Alasannya aritmetika waktu: runway 18–36 bulan (diperkirakan) berbenturan dengan berakhirnya</w:t>
      </w:r>
      <w:r>
        <w:t xml:space="preserve"> </w:t>
      </w:r>
      <w:r>
        <w:rPr>
          <w:i/>
          <w:iCs/>
        </w:rPr>
        <w:t xml:space="preserve">mainstream maintenance</w:t>
      </w:r>
      <w:r>
        <w:t xml:space="preserve"> </w:t>
      </w:r>
      <w:r>
        <w:t xml:space="preserve">ECC pada 31 Desember 2027, sehingga menunda menaikkan biaya dan risiko</w:t>
      </w:r>
      <w:r>
        <w:t xml:space="preserve"> </w:t>
      </w:r>
      <w:r>
        <w:rPr>
          <w:i/>
          <w:iCs/>
        </w:rPr>
        <w:t xml:space="preserve">go-live</w:t>
      </w:r>
      <w:r>
        <w:t xml:space="preserve">.</w:t>
      </w:r>
    </w:p>
    <w:bookmarkStart w:id="19" w:name="Xec994f39918cc92f02607b837a8b528d5e66e20"/>
    <w:p>
      <w:pPr>
        <w:pStyle w:val="Heading2"/>
      </w:pPr>
      <w:r>
        <w:t xml:space="preserve">Mengapa Migrasi SAP Sebaiknya Dimulai 2026, Bukan 2027?</w:t>
      </w:r>
    </w:p>
    <w:p>
      <w:pPr>
        <w:pStyle w:val="FirstParagraph"/>
      </w:pPr>
      <w:r>
        <w:t xml:space="preserve">Karena migrasi enterprise besar bukan proyek satu tahun. Dari keputusan hingga sistem stabil, rentang perencanaan yang lazim dipakai berkisar 18–36 bulan (diperkirakan). Bila dihitung mundur dari berakhirnya</w:t>
      </w:r>
      <w:r>
        <w:t xml:space="preserve"> </w:t>
      </w:r>
      <w:r>
        <w:rPr>
          <w:i/>
          <w:iCs/>
        </w:rPr>
        <w:t xml:space="preserve">mainstream maintenance</w:t>
      </w:r>
      <w:r>
        <w:t xml:space="preserve"> </w:t>
      </w:r>
      <w:r>
        <w:t xml:space="preserve">ECC pada 31 Desember 2027, batas realistis untuk mulai jatuh sekitar pertengahan 2026. Memulai pada 2027 nyaris mustahil selesai bersih tepat waktu.</w:t>
      </w:r>
    </w:p>
    <w:p>
      <w:pPr>
        <w:pStyle w:val="BodyText"/>
      </w:pPr>
      <w:r>
        <w:t xml:space="preserve">Rentang 18–36 bulan itu adalah</w:t>
      </w:r>
      <w:r>
        <w:t xml:space="preserve"> </w:t>
      </w:r>
      <w:r>
        <w:rPr>
          <w:i/>
          <w:iCs/>
        </w:rPr>
        <w:t xml:space="preserve">envelope</w:t>
      </w:r>
      <w:r>
        <w:t xml:space="preserve"> </w:t>
      </w:r>
      <w:r>
        <w:t xml:space="preserve">perencanaan, bukan durasi proyek murni. Ia mencakup tiga ruas: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Keputusan dan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procurement</w:t>
      </w:r>
      <w:r>
        <w:rPr>
          <w:b/>
          <w:bCs/>
        </w:rPr>
        <w:t xml:space="preserve">.</w:t>
      </w:r>
      <w:r>
        <w:t xml:space="preserve"> </w:t>
      </w:r>
      <w:r>
        <w:t xml:space="preserve">Sekitar 3–6 bulan untuk</w:t>
      </w:r>
      <w:r>
        <w:t xml:space="preserve"> </w:t>
      </w:r>
      <w:r>
        <w:rPr>
          <w:i/>
          <w:iCs/>
        </w:rPr>
        <w:t xml:space="preserve">assessment</w:t>
      </w:r>
      <w:r>
        <w:t xml:space="preserve">, penyusunan</w:t>
      </w:r>
      <w:r>
        <w:t xml:space="preserve"> </w:t>
      </w:r>
      <w:r>
        <w:rPr>
          <w:i/>
          <w:iCs/>
        </w:rPr>
        <w:t xml:space="preserve">business case</w:t>
      </w:r>
      <w:r>
        <w:t xml:space="preserve">, pemilihan jalur, dan kontrak.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Proyek implementasi.</w:t>
      </w:r>
      <w:r>
        <w:t xml:space="preserve"> </w:t>
      </w:r>
      <w:r>
        <w:t xml:space="preserve">Sekitar 12–24 bulan, tergantung kompleksitas lanskap dan pendekatan yang dipilih; jalur</w:t>
      </w:r>
      <w:r>
        <w:t xml:space="preserve"> </w:t>
      </w:r>
      <w:r>
        <w:rPr>
          <w:i/>
          <w:iCs/>
        </w:rPr>
        <w:t xml:space="preserve">brownfield</w:t>
      </w:r>
      <w:r>
        <w:t xml:space="preserve"> </w:t>
      </w:r>
      <w:r>
        <w:t xml:space="preserve">(konversi sistem lama) cenderung di ujung bawah,</w:t>
      </w:r>
      <w:r>
        <w:t xml:space="preserve"> </w:t>
      </w:r>
      <w:r>
        <w:rPr>
          <w:i/>
          <w:iCs/>
        </w:rPr>
        <w:t xml:space="preserve">greenfield</w:t>
      </w:r>
      <w:r>
        <w:t xml:space="preserve"> </w:t>
      </w:r>
      <w:r>
        <w:t xml:space="preserve">(bangun ulang) di ujung atas.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Hypercare dan stabilisasi.</w:t>
      </w:r>
      <w:r>
        <w:t xml:space="preserve"> </w:t>
      </w:r>
      <w:r>
        <w:t xml:space="preserve">Sekitar 2–4 bulan setelah</w:t>
      </w:r>
      <w:r>
        <w:t xml:space="preserve"> </w:t>
      </w:r>
      <w:r>
        <w:rPr>
          <w:i/>
          <w:iCs/>
        </w:rPr>
        <w:t xml:space="preserve">go-live</w:t>
      </w:r>
      <w:r>
        <w:t xml:space="preserve"> </w:t>
      </w:r>
      <w:r>
        <w:t xml:space="preserve">sampai operasi benar-benar tenang.</w:t>
      </w:r>
    </w:p>
    <w:p>
      <w:pPr>
        <w:pStyle w:val="FirstParagraph"/>
      </w:pPr>
      <w:r>
        <w:t xml:space="preserve">Bahwa jendela 2026 nyata, bukan retorika, sudah terbukti di kalender. Tenggat hak pakai</w:t>
      </w:r>
      <w:r>
        <w:t xml:space="preserve"> </w:t>
      </w:r>
      <w:r>
        <w:rPr>
          <w:i/>
          <w:iCs/>
        </w:rPr>
        <w:t xml:space="preserve">SAP Compatibility Packs</w:t>
      </w:r>
      <w:r>
        <w:t xml:space="preserve"> </w:t>
      </w:r>
      <w:r>
        <w:t xml:space="preserve">untuk S/4HANA</w:t>
      </w:r>
      <w:r>
        <w:t xml:space="preserve"> </w:t>
      </w:r>
      <w:r>
        <w:rPr>
          <w:i/>
          <w:iCs/>
        </w:rPr>
        <w:t xml:space="preserve">on-premise</w:t>
      </w:r>
      <w:r>
        <w:t xml:space="preserve"> </w:t>
      </w:r>
      <w:r>
        <w:t xml:space="preserve">berakhir akhir Mei 2026 lewat masa transisi final yang diumumkan</w:t>
      </w:r>
      <w:r>
        <w:t xml:space="preserve"> </w:t>
      </w:r>
      <w:hyperlink r:id="rId18">
        <w:r>
          <w:rPr>
            <w:rStyle w:val="Hyperlink"/>
          </w:rPr>
          <w:t xml:space="preserve">SAP</w:t>
        </w:r>
      </w:hyperlink>
      <w:r>
        <w:t xml:space="preserve"> </w:t>
      </w:r>
      <w:r>
        <w:t xml:space="preserve">(SAP Note 2269324, Desember 2025). Setelah tenggat itu, sebagian besar fungsi paket tersebut tidak lagi boleh dipakai. Satu milestone 2026 yang sudah lewat menandai bahwa hitungan mundur benar-benar berjalan.</w:t>
      </w:r>
    </w:p>
    <w:bookmarkEnd w:id="19"/>
    <w:bookmarkStart w:id="22" w:name="Xc9a6ebcaf275c9523a22e09f6169402129f2eee"/>
    <w:p>
      <w:pPr>
        <w:pStyle w:val="Heading2"/>
      </w:pPr>
      <w:r>
        <w:t xml:space="preserve">Bagaimana Biaya dan Kapasitas Partner Bergerak Menjelang Tenggat?</w:t>
      </w:r>
    </w:p>
    <w:p>
      <w:pPr>
        <w:pStyle w:val="FirstParagraph"/>
      </w:pPr>
      <w:r>
        <w:t xml:space="preserve">Karena hampir semua perusahaan bergerak di jendela yang sama, pasar</w:t>
      </w:r>
      <w:r>
        <w:t xml:space="preserve"> </w:t>
      </w:r>
      <w:r>
        <w:rPr>
          <w:i/>
          <w:iCs/>
        </w:rPr>
        <w:t xml:space="preserve">system integrator</w:t>
      </w:r>
      <w:r>
        <w:t xml:space="preserve"> </w:t>
      </w:r>
      <w:r>
        <w:t xml:space="preserve">(SI) dan konsultan SAP menyempit persis saat permintaan memuncak. Menurut Gartner (dikutip</w:t>
      </w:r>
      <w:r>
        <w:t xml:space="preserve"> </w:t>
      </w:r>
      <w:hyperlink r:id="rId20">
        <w:r>
          <w:rPr>
            <w:rStyle w:val="Hyperlink"/>
          </w:rPr>
          <w:t xml:space="preserve">CIO.com</w:t>
        </w:r>
      </w:hyperlink>
      <w:r>
        <w:t xml:space="preserve">), per akhir 2024 baru 39% atau sekitar 14.000 dari ~35.000 pelanggan ECC yang telah migrasi, dan sekitar 17.000 diproyeksikan masih memakai ECC pada 2027.</w:t>
      </w:r>
    </w:p>
    <w:p>
      <w:pPr>
        <w:pStyle w:val="BodyText"/>
      </w:pPr>
      <w:r>
        <w:t xml:space="preserve">Konsekuensinya terasa di dua tempat: harga dan pilihan tim. Estimasi industri memperkirakan</w:t>
      </w:r>
      <w:r>
        <w:t xml:space="preserve"> </w:t>
      </w:r>
      <w:r>
        <w:rPr>
          <w:i/>
          <w:iCs/>
        </w:rPr>
        <w:t xml:space="preserve">day rate</w:t>
      </w:r>
      <w:r>
        <w:t xml:space="preserve"> </w:t>
      </w:r>
      <w:r>
        <w:t xml:space="preserve">konsultan S/4HANA berpengalaman naik 30–50% pada 2026–27 dibanding 2024, dengan permintaan talenta beberapa kali lipat pasokan menjelang tenggat. Perusahaan yang menunda cenderung kebagian sisa kapasitas, bukan tim inti. Bagi yang menempuh jalur berlangganan seperti</w:t>
      </w:r>
      <w:r>
        <w:t xml:space="preserve"> </w:t>
      </w:r>
      <w:hyperlink r:id="rId21">
        <w:r>
          <w:rPr>
            <w:rStyle w:val="Hyperlink"/>
          </w:rPr>
          <w:t xml:space="preserve">RISE with SAP</w:t>
        </w:r>
      </w:hyperlink>
      <w:r>
        <w:t xml:space="preserve">, mengunci slot lebih awal berarti ruang perencanaan yang jauh lebih longgar.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</w:t>
            </w:r>
          </w:p>
        </w:tc>
        <w:tc>
          <w:tcPr/>
          <w:p>
            <w:pPr>
              <w:pStyle w:val="Compact"/>
            </w:pPr>
            <w:r>
              <w:t xml:space="preserve">Mulai 2026</w:t>
            </w:r>
          </w:p>
        </w:tc>
        <w:tc>
          <w:tcPr/>
          <w:p>
            <w:pPr>
              <w:pStyle w:val="Compact"/>
            </w:pPr>
            <w:r>
              <w:t xml:space="preserve">Menunda ke 2027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Ketersediaan partner/SI</w:t>
            </w:r>
          </w:p>
        </w:tc>
        <w:tc>
          <w:tcPr/>
          <w:p>
            <w:pPr>
              <w:pStyle w:val="Compact"/>
            </w:pPr>
            <w:r>
              <w:t xml:space="preserve">Slot masih terbuka; bisa pilih tim</w:t>
            </w:r>
          </w:p>
        </w:tc>
        <w:tc>
          <w:tcPr/>
          <w:p>
            <w:pPr>
              <w:pStyle w:val="Compact"/>
            </w:pPr>
            <w:r>
              <w:t xml:space="preserve">Antrean penuh menjelang tenggat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Day rate</w:t>
            </w:r>
            <w:r>
              <w:t xml:space="preserve"> </w:t>
            </w:r>
            <w:r>
              <w:t xml:space="preserve">konsultan (estimasi industri)</w:t>
            </w:r>
          </w:p>
        </w:tc>
        <w:tc>
          <w:tcPr/>
          <w:p>
            <w:pPr>
              <w:pStyle w:val="Compact"/>
            </w:pPr>
            <w:r>
              <w:t xml:space="preserve">Basis 2024–25</w:t>
            </w:r>
          </w:p>
        </w:tc>
        <w:tc>
          <w:tcPr/>
          <w:p>
            <w:pPr>
              <w:pStyle w:val="Compact"/>
            </w:pPr>
            <w:r>
              <w:t xml:space="preserve">Diperkirakan +30–50% (2026–27 vs 2024)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Keleluasaan memilih tim</w:t>
            </w:r>
          </w:p>
        </w:tc>
        <w:tc>
          <w:tcPr/>
          <w:p>
            <w:pPr>
              <w:pStyle w:val="Compact"/>
            </w:pPr>
            <w:r>
              <w:t xml:space="preserve">Tim inti tersedia</w:t>
            </w:r>
          </w:p>
        </w:tc>
        <w:tc>
          <w:tcPr/>
          <w:p>
            <w:pPr>
              <w:pStyle w:val="Compact"/>
            </w:pPr>
            <w:r>
              <w:t xml:space="preserve">Sisa kapasitas,</w:t>
            </w:r>
            <w:r>
              <w:t xml:space="preserve"> </w:t>
            </w:r>
            <w:r>
              <w:t xml:space="preserve">“tim yang beda”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Buffer</w:t>
            </w:r>
            <w:r>
              <w:t xml:space="preserve"> </w:t>
            </w:r>
            <w:r>
              <w:rPr>
                <w:i/>
                <w:iCs/>
              </w:rPr>
              <w:t xml:space="preserve">testing</w:t>
            </w:r>
            <w:r>
              <w:t xml:space="preserve"> </w:t>
            </w:r>
            <w:r>
              <w:t xml:space="preserve">&amp; jadwal</w:t>
            </w:r>
          </w:p>
        </w:tc>
        <w:tc>
          <w:tcPr/>
          <w:p>
            <w:pPr>
              <w:pStyle w:val="Compact"/>
            </w:pPr>
            <w:r>
              <w:t xml:space="preserve">Longgar, siklus penuh</w:t>
            </w:r>
          </w:p>
        </w:tc>
        <w:tc>
          <w:tcPr/>
          <w:p>
            <w:pPr>
              <w:pStyle w:val="Compact"/>
            </w:pPr>
            <w:r>
              <w:t xml:space="preserve">Terkompres, risiko bentrok tutup buku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Risiko</w:t>
            </w:r>
            <w:r>
              <w:t xml:space="preserve"> </w:t>
            </w:r>
            <w:r>
              <w:rPr>
                <w:i/>
                <w:iCs/>
              </w:rPr>
              <w:t xml:space="preserve">go-live</w:t>
            </w:r>
            <w:r>
              <w:t xml:space="preserve"> </w:t>
            </w:r>
            <w:r>
              <w:t xml:space="preserve">mundur</w:t>
            </w:r>
          </w:p>
        </w:tc>
        <w:tc>
          <w:tcPr/>
          <w:p>
            <w:pPr>
              <w:pStyle w:val="Compact"/>
            </w:pPr>
            <w:r>
              <w:t xml:space="preserve">Rendah</w:t>
            </w:r>
          </w:p>
        </w:tc>
        <w:tc>
          <w:tcPr/>
          <w:p>
            <w:pPr>
              <w:pStyle w:val="Compact"/>
            </w:pPr>
            <w:r>
              <w:t xml:space="preserve">Tinggi mendekati 31 Des 2027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Posisi vs</w:t>
            </w:r>
            <w:r>
              <w:t xml:space="preserve"> </w:t>
            </w:r>
            <w:r>
              <w:rPr>
                <w:i/>
                <w:iCs/>
              </w:rPr>
              <w:t xml:space="preserve">maintenance</w:t>
            </w:r>
          </w:p>
        </w:tc>
        <w:tc>
          <w:tcPr/>
          <w:p>
            <w:pPr>
              <w:pStyle w:val="Compact"/>
            </w:pPr>
            <w:r>
              <w:t xml:space="preserve">Selesai sebelum</w:t>
            </w:r>
            <w:r>
              <w:t xml:space="preserve"> </w:t>
            </w:r>
            <w:r>
              <w:rPr>
                <w:i/>
                <w:iCs/>
              </w:rPr>
              <w:t xml:space="preserve">mainstream</w:t>
            </w:r>
            <w:r>
              <w:t xml:space="preserve"> </w:t>
            </w:r>
            <w:r>
              <w:t xml:space="preserve">berakhir</w:t>
            </w:r>
          </w:p>
        </w:tc>
        <w:tc>
          <w:tcPr/>
          <w:p>
            <w:pPr>
              <w:pStyle w:val="Compact"/>
            </w:pPr>
            <w:r>
              <w:t xml:space="preserve">Berpotensi masuk</w:t>
            </w:r>
            <w:r>
              <w:t xml:space="preserve"> </w:t>
            </w:r>
            <w:r>
              <w:rPr>
                <w:i/>
                <w:iCs/>
              </w:rPr>
              <w:t xml:space="preserve">extended</w:t>
            </w:r>
            <w:r>
              <w:t xml:space="preserve"> </w:t>
            </w:r>
            <w:r>
              <w:t xml:space="preserve">(+2 poin persen) atau celah kepatuhan</w:t>
            </w:r>
          </w:p>
        </w:tc>
      </w:tr>
    </w:tbl>
    <w:bookmarkEnd w:id="22"/>
    <w:bookmarkStart w:id="23" w:name="X6bfd2f4db893a91716b52fa37ab500ff7d20939"/>
    <w:p>
      <w:pPr>
        <w:pStyle w:val="Heading2"/>
      </w:pPr>
      <w:r>
        <w:t xml:space="preserve">Apa Risiko Menunda, dan Kapan Menunda Masih Masuk Akal?</w:t>
      </w:r>
    </w:p>
    <w:p>
      <w:pPr>
        <w:pStyle w:val="FirstParagraph"/>
      </w:pPr>
      <w:r>
        <w:t xml:space="preserve">Risiko terbesar bukan tenggat itu sendiri, melainkan kompresi jadwal. Menunda memampatkan siklus pengujian, menaikkan peluang</w:t>
      </w:r>
      <w:r>
        <w:t xml:space="preserve"> </w:t>
      </w:r>
      <w:r>
        <w:rPr>
          <w:i/>
          <w:iCs/>
        </w:rPr>
        <w:t xml:space="preserve">go-live</w:t>
      </w:r>
      <w:r>
        <w:t xml:space="preserve"> </w:t>
      </w:r>
      <w:r>
        <w:t xml:space="preserve">bentrok dengan tutup buku, dan membuka celah kepatuhan serta keamanan setelah 2027. Menunda tidak menghapus biaya; ia memindahkannya ke titik saat kapasitas paling mahal dan paling langka.</w:t>
      </w:r>
    </w:p>
    <w:p>
      <w:pPr>
        <w:pStyle w:val="BodyText"/>
      </w:pPr>
      <w:r>
        <w:rPr>
          <w:i/>
          <w:iCs/>
        </w:rPr>
        <w:t xml:space="preserve">Extended maintenance</w:t>
      </w:r>
      <w:r>
        <w:t xml:space="preserve"> </w:t>
      </w:r>
      <w:r>
        <w:t xml:space="preserve">memang tersedia untuk 2028–2030 dengan premi +2 poin persen di atas basis</w:t>
      </w:r>
      <w:r>
        <w:t xml:space="preserve"> </w:t>
      </w:r>
      <w:r>
        <w:rPr>
          <w:i/>
          <w:iCs/>
        </w:rPr>
        <w:t xml:space="preserve">maintenance</w:t>
      </w:r>
      <w:r>
        <w:t xml:space="preserve">, tanpa hak atas inovasi baru. Itu penyangga, bukan strategi. Ia masuk akal hanya untuk kasus sempit, misalnya entitas yang akan segera didivestasi, bukan alasan menunda keputusan bagi bisnis inti.</w:t>
      </w:r>
    </w:p>
    <w:p>
      <w:pPr>
        <w:pStyle w:val="BodyText"/>
      </w:pPr>
      <w:r>
        <w:t xml:space="preserve">Langkah pertama yang konkret tidak perlu menunggu anggaran penuh. Jalankan</w:t>
      </w:r>
      <w:r>
        <w:t xml:space="preserve"> </w:t>
      </w:r>
      <w:r>
        <w:rPr>
          <w:i/>
          <w:iCs/>
        </w:rPr>
        <w:t xml:space="preserve">SAP Readiness Check</w:t>
      </w:r>
      <w:r>
        <w:t xml:space="preserve"> </w:t>
      </w:r>
      <w:r>
        <w:t xml:space="preserve">untuk memetakan</w:t>
      </w:r>
      <w:r>
        <w:t xml:space="preserve"> </w:t>
      </w:r>
      <w:r>
        <w:rPr>
          <w:i/>
          <w:iCs/>
        </w:rPr>
        <w:t xml:space="preserve">custom code</w:t>
      </w:r>
      <w:r>
        <w:t xml:space="preserve"> </w:t>
      </w:r>
      <w:r>
        <w:t xml:space="preserve">dan posisi sistem, lalu kunci slot partner dan tetapkan target</w:t>
      </w:r>
      <w:r>
        <w:t xml:space="preserve"> </w:t>
      </w:r>
      <w:r>
        <w:rPr>
          <w:i/>
          <w:iCs/>
        </w:rPr>
        <w:t xml:space="preserve">go-live</w:t>
      </w:r>
      <w:r>
        <w:t xml:space="preserve">. Dari situ, kalender menentukan sisanya.</w:t>
      </w:r>
    </w:p>
    <w:bookmarkEnd w:id="23"/>
    <w:bookmarkStart w:id="27" w:name="faq-pertanyaan-yang-sering-diajukan"/>
    <w:p>
      <w:pPr>
        <w:pStyle w:val="Heading2"/>
      </w:pPr>
      <w:r>
        <w:t xml:space="preserve">FAQ (Pertanyaan yang Sering Diajukan)</w:t>
      </w:r>
    </w:p>
    <w:bookmarkStart w:id="24" w:name="Xbcf3b65d1a49fb9bfe98d15314daf926f4be6cd"/>
    <w:p>
      <w:pPr>
        <w:pStyle w:val="Heading3"/>
      </w:pPr>
      <w:r>
        <w:t xml:space="preserve">Kapan paling lambat harus mulai migrasi SAP agar selesai sebelum 2027?</w:t>
      </w:r>
    </w:p>
    <w:p>
      <w:pPr>
        <w:pStyle w:val="FirstParagraph"/>
      </w:pPr>
      <w:r>
        <w:t xml:space="preserve">Sekitar pertengahan 2026. Dengan</w:t>
      </w:r>
      <w:r>
        <w:t xml:space="preserve"> </w:t>
      </w:r>
      <w:r>
        <w:rPr>
          <w:i/>
          <w:iCs/>
        </w:rPr>
        <w:t xml:space="preserve">mainstream maintenance</w:t>
      </w:r>
      <w:r>
        <w:t xml:space="preserve"> </w:t>
      </w:r>
      <w:r>
        <w:t xml:space="preserve">SAP ECC berhenti 31 Desember 2027 dan rentang perencanaan hingga stabilisasi biasanya 18–36 bulan (diperkirakan),</w:t>
      </w:r>
      <w:r>
        <w:t xml:space="preserve"> </w:t>
      </w:r>
      <w:r>
        <w:rPr>
          <w:i/>
          <w:iCs/>
        </w:rPr>
        <w:t xml:space="preserve">assessment</w:t>
      </w:r>
      <w:r>
        <w:t xml:space="preserve"> </w:t>
      </w:r>
      <w:r>
        <w:t xml:space="preserve">dan penetapan target</w:t>
      </w:r>
      <w:r>
        <w:t xml:space="preserve"> </w:t>
      </w:r>
      <w:r>
        <w:rPr>
          <w:i/>
          <w:iCs/>
        </w:rPr>
        <w:t xml:space="preserve">go-live</w:t>
      </w:r>
      <w:r>
        <w:t xml:space="preserve"> </w:t>
      </w:r>
      <w:r>
        <w:t xml:space="preserve">idealnya tuntas sebelum paruh kedua 2026. Menunda titik mulai ke 2027 memangkas hampir semua ruang uji coba.</w:t>
      </w:r>
    </w:p>
    <w:bookmarkEnd w:id="24"/>
    <w:bookmarkStart w:id="25" w:name="Xa47b9ed64651437b1c5f6c9a92080d9033a4de6"/>
    <w:p>
      <w:pPr>
        <w:pStyle w:val="Heading3"/>
      </w:pPr>
      <w:r>
        <w:t xml:space="preserve">Apakah migrasi SAP bisa ditunda dengan extended maintenance sampai 2030?</w:t>
      </w:r>
    </w:p>
    <w:p>
      <w:pPr>
        <w:pStyle w:val="FirstParagraph"/>
      </w:pPr>
      <w:r>
        <w:t xml:space="preserve">Secara teknis bisa, namun bukan solusi.</w:t>
      </w:r>
      <w:r>
        <w:t xml:space="preserve"> </w:t>
      </w:r>
      <w:r>
        <w:rPr>
          <w:i/>
          <w:iCs/>
        </w:rPr>
        <w:t xml:space="preserve">Extended maintenance</w:t>
      </w:r>
      <w:r>
        <w:t xml:space="preserve"> </w:t>
      </w:r>
      <w:r>
        <w:t xml:space="preserve">menjaga dukungan pada 2028–2030 dengan tambahan biaya 2 poin persen di atas basis</w:t>
      </w:r>
      <w:r>
        <w:t xml:space="preserve"> </w:t>
      </w:r>
      <w:r>
        <w:rPr>
          <w:i/>
          <w:iCs/>
        </w:rPr>
        <w:t xml:space="preserve">maintenance</w:t>
      </w:r>
      <w:r>
        <w:t xml:space="preserve">, tetapi tanpa akses ke inovasi baru. Opsi ini wajar hanya untuk kasus khusus, seperti entitas yang segera dilepas, bukan alasan menahan keputusan migrasi inti.</w:t>
      </w:r>
    </w:p>
    <w:bookmarkEnd w:id="25"/>
    <w:bookmarkStart w:id="26" w:name="X24034fd1d370f7fa553ac3114893ba6ec0e81aa"/>
    <w:p>
      <w:pPr>
        <w:pStyle w:val="Heading3"/>
      </w:pPr>
      <w:r>
        <w:t xml:space="preserve">Mengapa biaya migrasi SAP naik jika menunda?</w:t>
      </w:r>
    </w:p>
    <w:p>
      <w:pPr>
        <w:pStyle w:val="FirstParagraph"/>
      </w:pPr>
      <w:r>
        <w:t xml:space="preserve">Penyebabnya kelangkaan kapasitas. Menjelang 2027, permintaan konsultan S/4HANA berpengalaman melampaui pasokan, sehingga estimasi industri menaksir</w:t>
      </w:r>
      <w:r>
        <w:t xml:space="preserve"> </w:t>
      </w:r>
      <w:r>
        <w:rPr>
          <w:i/>
          <w:iCs/>
        </w:rPr>
        <w:t xml:space="preserve">day rate</w:t>
      </w:r>
      <w:r>
        <w:t xml:space="preserve"> </w:t>
      </w:r>
      <w:r>
        <w:t xml:space="preserve">naik 30–50% pada 2026–27 dibanding 2024. Selain tarif yang lebih tinggi, perusahaan yang menunda juga menghadapi pilihan tim yang menyusut dan jadwal yang lebih ketat.</w:t>
      </w:r>
    </w:p>
    <w:bookmarkEnd w:id="26"/>
    <w:bookmarkEnd w:id="27"/>
    <w:bookmarkStart w:id="28" w:name="kesimpulan"/>
    <w:p>
      <w:pPr>
        <w:pStyle w:val="Heading2"/>
      </w:pPr>
      <w:r>
        <w:t xml:space="preserve">Kesimpulan</w:t>
      </w:r>
    </w:p>
    <w:p>
      <w:pPr>
        <w:pStyle w:val="FirstParagraph"/>
      </w:pPr>
      <w:r>
        <w:t xml:space="preserve">Tenggat 2027 bukan soal panik, melainkan soal kalender. Runway 18–36 bulan dan</w:t>
      </w:r>
      <w:r>
        <w:t xml:space="preserve"> </w:t>
      </w:r>
      <w:r>
        <w:rPr>
          <w:i/>
          <w:iCs/>
        </w:rPr>
        <w:t xml:space="preserve">mainstream maintenance</w:t>
      </w:r>
      <w:r>
        <w:t xml:space="preserve"> </w:t>
      </w:r>
      <w:r>
        <w:t xml:space="preserve">yang berakhir 31 Desember 2027 membuat migrasi SAP 2026 menjadi keputusan yang paling terkendali dan paling murah. Sebagai SAP Platinum Partner melalui United VARs dan berpengalaman sejak 1998, Soltius menjalankan</w:t>
      </w:r>
      <w:r>
        <w:t xml:space="preserve"> </w:t>
      </w:r>
      <w:r>
        <w:rPr>
          <w:i/>
          <w:iCs/>
        </w:rPr>
        <w:t xml:space="preserve">assessment</w:t>
      </w:r>
      <w:r>
        <w:t xml:space="preserve"> </w:t>
      </w:r>
      <w:r>
        <w:t xml:space="preserve">serta mendampingi eksekusi migrasi ke SAP S/4HANA di lapangan.</w:t>
      </w:r>
    </w:p>
    <w:p>
      <w:pPr>
        <w:pStyle w:val="BodyText"/>
      </w:pPr>
      <w:r>
        <w:t xml:space="preserve">Untuk menilai kesiapan migrasi SAP 2026 dan opsi RISE with SAP di perusahaan Anda, kunjungi soltius.co.id.</w:t>
      </w:r>
    </w:p>
    <w:bookmarkEnd w:id="28"/>
    <w:bookmarkEnd w:id="29"/>
    <w:sectPr>
      <w:pgSz w:h="16834" w:orient="portrait" w:w="11909"/>
      <w:pgMar w:bottom="1440" w:footer="720" w:header="720" w:left="1440" w:right="1440" w:top="1440"/>
      <w:pgNumType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abstractNum w:abstractNumId="1">
    <w:lvl w:ilvl="0">
      <w:start w:val="1"/>
      <w:numFmt w:val="bullet"/>
      <w:lvlText w:val="●"/>
      <w:lvlJc w:val="left"/>
      <w:pPr>
        <w:ind w:hanging="360" w:left="72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hanging="360" w:left="72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hanging="360" w:left="72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hanging="360" w:left="72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hanging="360" w:left="72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TrueTypeFonts w:val="1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default="1" w:styleId="TableNormal" w:type="table">
    <w:name w:val="TableNormal"/>
    <w:tblPr>
      <w:tblCellMar>
        <w:top w:type="dxa" w:w="100.0"/>
        <w:left w:type="dxa" w:w="100.0"/>
        <w:bottom w:type="dxa" w:w="100.0"/>
        <w:right w:type="dxa" w:w="100.0"/>
      </w:tblCellMar>
    </w:tblPr>
  </w:style>
  <w:style w:default="1" w:styleId="Normal" w:type="paragraph">
    <w:name w:val="normal"/>
  </w:style>
  <w:style w:styleId="Heading1" w:type="paragraph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styleId="Heading2" w:type="paragraph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styleId="Heading3" w:type="paragraph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styleId="Heading4" w:type="paragraph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styleId="Heading5" w:type="paragraph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styleId="Heading6" w:type="paragraph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styleId="Title" w:type="paragraph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styleId="Subtitle" w:type="paragraph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styleId="Table1" w:type="table">
    <w:basedOn w:val="TableNormal"/>
    <w:tblPr>
      <w:tblStyleRowBandSize w:val="1"/>
      <w:tblStyleColBandSize w:val="1"/>
      <w:tblCellMar/>
    </w:tblPr>
  </w:style>
  <w:style w:styleId="Table2" w:type="table">
    <w:basedOn w:val="TableNormal"/>
    <w:tblPr>
      <w:tblStyleRowBandSize w:val="1"/>
      <w:tblStyleColBandSize w:val="1"/>
      <w:tblCellMar/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character" w:styleId="Hyperlink">
    <w:name w:val="Hyperlink"/>
    <w:rPr>
      <w:color w:val="0563C1"/>
      <w:u w:val="singl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5" Target="numbering.xml" /><Relationship Type="http://schemas.openxmlformats.org/officeDocument/2006/relationships/styles" Id="rId14" Target="styles.xml" /><Relationship Type="http://schemas.openxmlformats.org/officeDocument/2006/relationships/settings" Id="rId13" Target="settings.xml" /><Relationship Type="http://schemas.openxmlformats.org/officeDocument/2006/relationships/webSettings" Id="rId12" Target="webSettings.xml" /><Relationship Type="http://schemas.openxmlformats.org/officeDocument/2006/relationships/fontTable" Id="rId11" Target="fontTable.xml" /><Relationship Type="http://schemas.openxmlformats.org/officeDocument/2006/relationships/theme" Id="rId10" Target="theme/theme1.xml" /><Relationship Type="http://schemas.openxmlformats.org/officeDocument/2006/relationships/footnotes" Id="rId9" Target="footnotes.xml" /><Relationship Type="http://schemas.openxmlformats.org/officeDocument/2006/relationships/comments" Id="rId8" Target="comments.xml" /><Relationship Id="rId7" Target="media/image1.png" Type="http://schemas.openxmlformats.org/officeDocument/2006/relationships/image" /><Relationship Type="http://schemas.openxmlformats.org/officeDocument/2006/relationships/hyperlink" Id="rId18" Target="https://news.sap.com/2025/12/sap-announced-final-transition-period-for-compatibility-packs-for-sap-s-4hana-on-premise/" TargetMode="External" /><Relationship Type="http://schemas.openxmlformats.org/officeDocument/2006/relationships/hyperlink" Id="rId20" Target="https://www.cio.com/article/4000543/nearly-half-of-sap-ecc-customers-may-stick-with-legacy-erp-beyond-2027.html" TargetMode="External" /><Relationship Type="http://schemas.openxmlformats.org/officeDocument/2006/relationships/hyperlink" Id="rId21" Target="https://www.soltius.co.id/id/blog/RISE-With-SAP-Untuk-ERP-Enterprise" TargetMode="External" /><Relationship Type="http://schemas.openxmlformats.org/officeDocument/2006/relationships/hyperlink" Id="rId17" Target="https://www.soltius.co.id/id/blog/migrasi-erp-ke-clou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s://news.sap.com/2025/12/sap-announced-final-transition-period-for-compatibility-packs-for-sap-s-4hana-on-premise/" TargetMode="External" /><Relationship Type="http://schemas.openxmlformats.org/officeDocument/2006/relationships/hyperlink" Id="rId20" Target="https://www.cio.com/article/4000543/nearly-half-of-sap-ecc-customers-may-stick-with-legacy-erp-beyond-2027.html" TargetMode="External" /><Relationship Type="http://schemas.openxmlformats.org/officeDocument/2006/relationships/hyperlink" Id="rId21" Target="https://www.soltius.co.id/id/blog/RISE-With-SAP-Untuk-ERP-Enterprise" TargetMode="External" /><Relationship Type="http://schemas.openxmlformats.org/officeDocument/2006/relationships/hyperlink" Id="rId17" Target="https://www.soltius.co.id/id/blog/migrasi-erp-ke-clou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2026-09-01T01:40:28Z</dcterms:created>
  <dcterms:modified xsi:type="dcterms:W3CDTF">2026-09-01T01:40:28Z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