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"IFRS S1 &amp; S2: Standar Baru Pelaporan Keberlanjutan dan Dampaknya"</w:t>
      </w:r>
      <w:r>
        <w:br/>
      </w:r>
      <w:r>
        <w:rPr>
          <w:rStyle w:val="FunctionTok"/>
        </w:rPr>
        <w:t xml:space="preserve">meta_title</w:t>
      </w:r>
      <w:r>
        <w:rPr>
          <w:rStyle w:val="KeywordTok"/>
        </w:rPr>
        <w:t xml:space="preserve">:</w:t>
      </w:r>
      <w:r>
        <w:rPr>
          <w:rStyle w:val="AttributeTok"/>
        </w:rPr>
        <w:t xml:space="preserve"> </w:t>
      </w:r>
      <w:r>
        <w:rPr>
          <w:rStyle w:val="StringTok"/>
        </w:rPr>
        <w:t xml:space="preserve">"IFRS S1 &amp; S2: Standar Pelaporan Keberlanjutan Global"</w:t>
      </w:r>
      <w:r>
        <w:br/>
      </w:r>
      <w:r>
        <w:rPr>
          <w:rStyle w:val="FunctionTok"/>
        </w:rPr>
        <w:t xml:space="preserve">meta_description</w:t>
      </w:r>
      <w:r>
        <w:rPr>
          <w:rStyle w:val="KeywordTok"/>
        </w:rPr>
        <w:t xml:space="preserve">:</w:t>
      </w:r>
      <w:r>
        <w:rPr>
          <w:rStyle w:val="AttributeTok"/>
        </w:rPr>
        <w:t xml:space="preserve"> </w:t>
      </w:r>
      <w:r>
        <w:rPr>
          <w:rStyle w:val="StringTok"/>
        </w:rPr>
        <w:t xml:space="preserve">"IFRS S1 &amp; S2 adalah standar keberlanjutan global dari ISSB. Pahami perbedaan S1 dan S2, empat pilar, emisi Scope 1-3, dan dampaknya ke pelaporan di Indonesia."</w:t>
      </w:r>
      <w:r>
        <w:br/>
      </w:r>
      <w:r>
        <w:rPr>
          <w:rStyle w:val="FunctionTok"/>
        </w:rPr>
        <w:t xml:space="preserve">slug</w:t>
      </w:r>
      <w:r>
        <w:rPr>
          <w:rStyle w:val="KeywordTok"/>
        </w:rPr>
        <w:t xml:space="preserve">:</w:t>
      </w:r>
      <w:r>
        <w:rPr>
          <w:rStyle w:val="AttributeTok"/>
        </w:rPr>
        <w:t xml:space="preserve"> </w:t>
      </w:r>
      <w:r>
        <w:rPr>
          <w:rStyle w:val="StringTok"/>
        </w:rPr>
        <w:t xml:space="preserve">"ifrs-s1-s2-standar-pelaporan-keberlanjutan"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"ifrs s1 s2"</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"standar pelaporan keberlanjutan"</w:t>
      </w:r>
      <w:r>
        <w:rPr>
          <w:rStyle w:val="KeywordTok"/>
        </w:rPr>
        <w:t xml:space="preserve">,</w:t>
      </w:r>
      <w:r>
        <w:rPr>
          <w:rStyle w:val="AttributeTok"/>
        </w:rPr>
        <w:t xml:space="preserve"> </w:t>
      </w:r>
      <w:r>
        <w:rPr>
          <w:rStyle w:val="StringTok"/>
        </w:rPr>
        <w:t xml:space="preserve">"ISSB"</w:t>
      </w:r>
      <w:r>
        <w:rPr>
          <w:rStyle w:val="KeywordTok"/>
        </w:rPr>
        <w:t xml:space="preserve">,</w:t>
      </w:r>
      <w:r>
        <w:rPr>
          <w:rStyle w:val="AttributeTok"/>
        </w:rPr>
        <w:t xml:space="preserve"> </w:t>
      </w:r>
      <w:r>
        <w:rPr>
          <w:rStyle w:val="StringTok"/>
        </w:rPr>
        <w:t xml:space="preserve">"IFRS Sustainability Disclosure Standards"</w:t>
      </w:r>
      <w:r>
        <w:rPr>
          <w:rStyle w:val="KeywordTok"/>
        </w:rPr>
        <w:t xml:space="preserve">,</w:t>
      </w:r>
      <w:r>
        <w:rPr>
          <w:rStyle w:val="AttributeTok"/>
        </w:rPr>
        <w:t xml:space="preserve"> </w:t>
      </w:r>
      <w:r>
        <w:rPr>
          <w:rStyle w:val="StringTok"/>
        </w:rPr>
        <w:t xml:space="preserve">"pengungkapan terkait iklim"</w:t>
      </w:r>
      <w:r>
        <w:rPr>
          <w:rStyle w:val="KeywordTok"/>
        </w:rPr>
        <w:t xml:space="preserve">,</w:t>
      </w:r>
      <w:r>
        <w:rPr>
          <w:rStyle w:val="AttributeTok"/>
        </w:rPr>
        <w:t xml:space="preserve"> </w:t>
      </w:r>
      <w:r>
        <w:rPr>
          <w:rStyle w:val="StringTok"/>
        </w:rPr>
        <w:t xml:space="preserve">"TCFD"</w:t>
      </w:r>
      <w:r>
        <w:rPr>
          <w:rStyle w:val="KeywordTok"/>
        </w:rPr>
        <w:t xml:space="preserve">,</w:t>
      </w:r>
      <w:r>
        <w:rPr>
          <w:rStyle w:val="AttributeTok"/>
        </w:rPr>
        <w:t xml:space="preserve"> </w:t>
      </w:r>
      <w:r>
        <w:rPr>
          <w:rStyle w:val="StringTok"/>
        </w:rPr>
        <w:t xml:space="preserve">"Scope 1 2 3"</w:t>
      </w:r>
      <w:r>
        <w:rPr>
          <w:rStyle w:val="KeywordTok"/>
        </w:rPr>
        <w:t xml:space="preserve">,</w:t>
      </w:r>
      <w:r>
        <w:rPr>
          <w:rStyle w:val="AttributeTok"/>
        </w:rPr>
        <w:t xml:space="preserve"> </w:t>
      </w:r>
      <w:r>
        <w:rPr>
          <w:rStyle w:val="StringTok"/>
        </w:rPr>
        <w:t xml:space="preserve">"PSPK 1 dan PSPK 2"</w:t>
      </w:r>
      <w:r>
        <w:rPr>
          <w:rStyle w:val="KeywordTok"/>
        </w:rPr>
        <w:t xml:space="preserve">,</w:t>
      </w:r>
      <w:r>
        <w:rPr>
          <w:rStyle w:val="AttributeTok"/>
        </w:rPr>
        <w:t xml:space="preserve"> </w:t>
      </w:r>
      <w:r>
        <w:rPr>
          <w:rStyle w:val="StringTok"/>
        </w:rPr>
        <w:t xml:space="preserve">"SPK"</w:t>
      </w:r>
      <w:r>
        <w:rPr>
          <w:rStyle w:val="KeywordTok"/>
        </w:rPr>
        <w:t xml:space="preserve">,</w:t>
      </w:r>
      <w:r>
        <w:rPr>
          <w:rStyle w:val="AttributeTok"/>
        </w:rPr>
        <w:t xml:space="preserve"> </w:t>
      </w:r>
      <w:r>
        <w:rPr>
          <w:rStyle w:val="StringTok"/>
        </w:rPr>
        <w:t xml:space="preserve">"sustainability report"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"https://www.soltius.co.id/id/solutions-by-products/sustainability"</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sustainability berbasis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"https://www.soltius.co.id/id/blog/apa-itu-sap-sustainability-control-tower-sct-dasbor-terpusat-untuk-data-esg"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Sustainability Control Tower"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"https://www.ifrs.org/issued-standards/ifrs-sustainability-standards-navigator/"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"IFRS Foundation / ISSB: tanggal terbit 26 Juni 2023, nama resmi IFRS S1 &amp; S2, efektif global 1 Januari 2024, empat pilar, Scope 1/2/3 via GHG Protocol, materialitas keuangan, kelonggaran transisi"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"https://web.iaiglobal.or.id/"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"Ikatan Akuntan Indonesia, Dewan Standar Keberlanjutan: PSPK 1 &amp; PSPK 2 berbasis IFRS S1/S2, disahkan 1 Juli 2025, dijadwalkan efektif 1 Januari 2027"</w:t>
      </w:r>
      <w:r>
        <w:br/>
      </w:r>
      <w:r>
        <w:rPr>
          <w:rStyle w:val="FunctionTok"/>
        </w:rPr>
        <w:t xml:space="preserve">brief_id</w:t>
      </w:r>
      <w:r>
        <w:rPr>
          <w:rStyle w:val="KeywordTok"/>
        </w:rPr>
        <w:t xml:space="preserve">:</w:t>
      </w:r>
      <w:r>
        <w:rPr>
          <w:rStyle w:val="AttributeTok"/>
        </w:rPr>
        <w:t xml:space="preserve"> </w:t>
      </w:r>
      <w:r>
        <w:rPr>
          <w:rStyle w:val="StringTok"/>
        </w:rPr>
        <w:t xml:space="preserve">"ifrs-s1-s2-c01"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"2026-10-08"</w:t>
      </w:r>
      <w:r>
        <w:br/>
      </w:r>
      <w:r>
        <w:rPr>
          <w:rStyle w:val="FunctionTok"/>
        </w:rPr>
        <w:t xml:space="preserve">word_count</w:t>
      </w:r>
      <w:r>
        <w:rPr>
          <w:rStyle w:val="KeywordTok"/>
        </w:rPr>
        <w:t xml:space="preserve">:</w:t>
      </w:r>
      <w:r>
        <w:rPr>
          <w:rStyle w:val="AttributeTok"/>
        </w:rPr>
        <w:t xml:space="preserve"> </w:t>
      </w:r>
      <w:r>
        <w:rPr>
          <w:rStyle w:val="DecValTok"/>
        </w:rPr>
        <w:t xml:space="preserve">1137</w:t>
      </w:r>
    </w:p>
    <w:p>
      <w:r>
        <w:pict>
          <v:rect style="width:0;height:1.5pt" o:hralign="center" o:hrstd="t" o:hr="t"/>
        </w:pict>
      </w:r>
    </w:p>
    <w:bookmarkEnd w:id="16"/>
    <w:bookmarkStart w:id="31" w:name="X23b513af9ce7207bfb752f6c722bdddfda3d407"/>
    <w:p>
      <w:pPr>
        <w:pStyle w:val="Heading1"/>
      </w:pPr>
      <w:r>
        <w:t xml:space="preserve">IFRS S1 &amp; S2: Standar Baru Pelaporan Keberlanjutan dan Dampaknya</w:t>
      </w:r>
    </w:p>
    <w:p>
      <w:pPr>
        <w:pStyle w:val="FirstParagraph"/>
      </w:pPr>
      <w:r>
        <w:t xml:space="preserve">Selama bertahun-tahun, laporan keberlanjutan banyak diisi narasi kegiatan sosial dan foto. Investor dan regulator kini menuntut yang berbeda: angka keberlanjutan yang sekredibel laporan keuangan, bisa dibandingkan antarperusahaan dan diaudit. Di sinilah IFRS S1 &amp; S2 masuk. Artikel ini menjelaskan isi kedua standar itu, bedanya di mana, empat pilar pengungkapannya, serta dampak nyatanya pada cara perusahaan menyiapkan data.</w:t>
      </w:r>
    </w:p>
    <w:p>
      <w:pPr>
        <w:pStyle w:val="BlockText"/>
      </w:pPr>
      <w:r>
        <w:rPr>
          <w:b/>
          <w:bCs/>
        </w:rPr>
        <w:t xml:space="preserve">Ringkasnya:</w:t>
      </w:r>
      <w:r>
        <w:t xml:space="preserve"> </w:t>
      </w:r>
      <w:r>
        <w:t xml:space="preserve">IFRS S1 &amp; S2 adalah dua standar pengungkapan keberlanjutan global dari International Sustainability Standards Board (ISSB) di bawah IFRS Foundation. IFRS S1 menetapkan persyaratan umum pengungkapan risiko dan peluang keberlanjutan, sedangkan IFRS S2 memfokuskan pada iklim, sehingga informasi keberlanjutan perusahaan menjadi konsisten, dapat dibandingkan, dan dapat diandalkan investor.</w:t>
      </w:r>
    </w:p>
    <w:bookmarkStart w:id="18" w:name="apa-perbedaan-ifrs-s1-dan-ifrs-s2"/>
    <w:p>
      <w:pPr>
        <w:pStyle w:val="Heading2"/>
      </w:pPr>
      <w:r>
        <w:t xml:space="preserve">Apa Perbedaan IFRS S1 dan IFRS S2?</w:t>
      </w:r>
    </w:p>
    <w:p>
      <w:pPr>
        <w:pStyle w:val="FirstParagraph"/>
      </w:pPr>
      <w:r>
        <w:t xml:space="preserve">Keduanya diterbitkan ISSB pada 26 Juni 2023 dan dirancang dipakai sepaket. IFRS S1 (</w:t>
      </w:r>
      <w:r>
        <w:rPr>
          <w:i/>
          <w:iCs/>
        </w:rPr>
        <w:t xml:space="preserve">General Requirements for Disclosure of Sustainability-related Financial Information</w:t>
      </w:r>
      <w:r>
        <w:t xml:space="preserve">) adalah kerangka umum lintas sektor, sedangkan IFRS S2 (</w:t>
      </w:r>
      <w:r>
        <w:rPr>
          <w:i/>
          <w:iCs/>
        </w:rPr>
        <w:t xml:space="preserve">Climate-related Disclosures</w:t>
      </w:r>
      <w:r>
        <w:t xml:space="preserve">) khusus iklim. Menurut</w:t>
      </w:r>
      <w:r>
        <w:t xml:space="preserve"> </w:t>
      </w:r>
      <w:hyperlink r:id="rId17">
        <w:r>
          <w:rPr>
            <w:rStyle w:val="Hyperlink"/>
          </w:rPr>
          <w:t xml:space="preserve">IFRS Foundation</w:t>
        </w:r>
      </w:hyperlink>
      <w:r>
        <w:t xml:space="preserve">, keduanya efektif secara internasional untuk periode pelaporan mulai 1 Januari 2024.</w:t>
      </w:r>
    </w:p>
    <w:p>
      <w:pPr>
        <w:pStyle w:val="BodyText"/>
      </w:pPr>
      <w:r>
        <w:t xml:space="preserve">IFRS S2 dibangun di atas kerangka Task Force on Climate-related Financial Disclosures (TCFD) serta standar industri SASB (</w:t>
      </w:r>
      <w:r>
        <w:rPr>
          <w:i/>
          <w:iCs/>
        </w:rPr>
        <w:t xml:space="preserve">Sustainability Accounting Standards Board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IFRS S1</w:t>
            </w:r>
          </w:p>
        </w:tc>
        <w:tc>
          <w:tcPr/>
          <w:p>
            <w:pPr>
              <w:pStyle w:val="Compact"/>
            </w:pPr>
            <w:r>
              <w:t xml:space="preserve">IFRS S2</w:t>
            </w:r>
          </w:p>
        </w:tc>
      </w:tr>
      <w:tr>
        <w:tc>
          <w:tcPr/>
          <w:p>
            <w:pPr>
              <w:pStyle w:val="Compact"/>
            </w:pPr>
            <w:r>
              <w:t xml:space="preserve">Nama lengkap</w:t>
            </w:r>
          </w:p>
        </w:tc>
        <w:tc>
          <w:tcPr/>
          <w:p>
            <w:pPr>
              <w:pStyle w:val="Compact"/>
            </w:pPr>
            <w:r>
              <w:t xml:space="preserve">General Requirements for Disclosure of Sustainability-related Financial Information</w:t>
            </w:r>
          </w:p>
        </w:tc>
        <w:tc>
          <w:tcPr/>
          <w:p>
            <w:pPr>
              <w:pStyle w:val="Compact"/>
            </w:pPr>
            <w:r>
              <w:t xml:space="preserve">Climate-related Disclosures</w:t>
            </w:r>
          </w:p>
        </w:tc>
      </w:tr>
      <w:tr>
        <w:tc>
          <w:tcPr/>
          <w:p>
            <w:pPr>
              <w:pStyle w:val="Compact"/>
            </w:pPr>
            <w:r>
              <w:t xml:space="preserve">Cakupan</w:t>
            </w:r>
          </w:p>
        </w:tc>
        <w:tc>
          <w:tcPr/>
          <w:p>
            <w:pPr>
              <w:pStyle w:val="Compact"/>
            </w:pPr>
            <w:r>
              <w:t xml:space="preserve">Semua topik keberlanjutan (lintas sektor)</w:t>
            </w:r>
          </w:p>
        </w:tc>
        <w:tc>
          <w:tcPr/>
          <w:p>
            <w:pPr>
              <w:pStyle w:val="Compact"/>
            </w:pPr>
            <w:r>
              <w:t xml:space="preserve">Khusus risiko dan peluang iklim</w:t>
            </w:r>
          </w:p>
        </w:tc>
      </w:tr>
      <w:tr>
        <w:tc>
          <w:tcPr/>
          <w:p>
            <w:pPr>
              <w:pStyle w:val="Compact"/>
            </w:pPr>
            <w:r>
              <w:t xml:space="preserve">Fokus</w:t>
            </w:r>
          </w:p>
        </w:tc>
        <w:tc>
          <w:tcPr/>
          <w:p>
            <w:pPr>
              <w:pStyle w:val="Compact"/>
            </w:pPr>
            <w:r>
              <w:t xml:space="preserve">Kerangka umum</w:t>
            </w:r>
            <w:r>
              <w:t xml:space="preserve"> </w:t>
            </w:r>
            <w:r>
              <w:t xml:space="preserve">“bagaimana cara mengungkap”</w:t>
            </w:r>
          </w:p>
        </w:tc>
        <w:tc>
          <w:tcPr/>
          <w:p>
            <w:pPr>
              <w:pStyle w:val="Compact"/>
            </w:pPr>
            <w:r>
              <w:t xml:space="preserve">Pelengkap spesifik</w:t>
            </w:r>
            <w:r>
              <w:t xml:space="preserve"> </w:t>
            </w:r>
            <w:r>
              <w:t xml:space="preserve">“apa yang diungkap soal iklim”</w:t>
            </w:r>
          </w:p>
        </w:tc>
      </w:tr>
      <w:tr>
        <w:tc>
          <w:tcPr/>
          <w:p>
            <w:pPr>
              <w:pStyle w:val="Compact"/>
            </w:pPr>
            <w:r>
              <w:t xml:space="preserve">Dasar kerangka</w:t>
            </w:r>
          </w:p>
        </w:tc>
        <w:tc>
          <w:tcPr/>
          <w:p>
            <w:pPr>
              <w:pStyle w:val="Compact"/>
            </w:pPr>
            <w:r>
              <w:t xml:space="preserve">Prinsip pengungkapan + standar industri SASB</w:t>
            </w:r>
          </w:p>
        </w:tc>
        <w:tc>
          <w:tcPr/>
          <w:p>
            <w:pPr>
              <w:pStyle w:val="Compact"/>
            </w:pPr>
            <w:r>
              <w:t xml:space="preserve">TCFD + GHG Protocol (Scope 1, 2, 3)</w:t>
            </w:r>
          </w:p>
        </w:tc>
      </w:tr>
      <w:tr>
        <w:tc>
          <w:tcPr/>
          <w:p>
            <w:pPr>
              <w:pStyle w:val="Compact"/>
            </w:pPr>
            <w:r>
              <w:t xml:space="preserve">Terbit / efektif global</w:t>
            </w:r>
          </w:p>
        </w:tc>
        <w:tc>
          <w:tcPr/>
          <w:p>
            <w:pPr>
              <w:pStyle w:val="Compact"/>
            </w:pPr>
            <w:r>
              <w:t xml:space="preserve">26 Juni 2023 / 1 Januari 2024</w:t>
            </w:r>
          </w:p>
        </w:tc>
        <w:tc>
          <w:tcPr/>
          <w:p>
            <w:pPr>
              <w:pStyle w:val="Compact"/>
            </w:pPr>
            <w:r>
              <w:t xml:space="preserve">26 Juni 2023 / 1 Januari 2024</w:t>
            </w:r>
          </w:p>
        </w:tc>
      </w:tr>
    </w:tbl>
    <w:p>
      <w:pPr>
        <w:pStyle w:val="BodyText"/>
      </w:pPr>
      <w:r>
        <w:t xml:space="preserve">Singkatnya, IFRS S1 mengatur</w:t>
      </w:r>
      <w:r>
        <w:t xml:space="preserve"> </w:t>
      </w:r>
      <w:r>
        <w:rPr>
          <w:i/>
          <w:iCs/>
        </w:rPr>
        <w:t xml:space="preserve">bagaimana</w:t>
      </w:r>
      <w:r>
        <w:t xml:space="preserve"> </w:t>
      </w:r>
      <w:r>
        <w:t xml:space="preserve">cara mengungkap, sementara IFRS S2 mengatur</w:t>
      </w:r>
      <w:r>
        <w:t xml:space="preserve"> </w:t>
      </w:r>
      <w:r>
        <w:rPr>
          <w:i/>
          <w:iCs/>
        </w:rPr>
        <w:t xml:space="preserve">apa</w:t>
      </w:r>
      <w:r>
        <w:t xml:space="preserve"> </w:t>
      </w:r>
      <w:r>
        <w:t xml:space="preserve">yang diungkap soal iklim. IFRS S1 bahkan meminta perusahaan mempertimbangkan standar industri SASB untuk mengidentifikasi risiko dan peluang yang relevan, nuansa yang sering terlewat di ringkasan populer.</w:t>
      </w:r>
    </w:p>
    <w:bookmarkEnd w:id="18"/>
    <w:bookmarkStart w:id="19" w:name="Xc47970a883f3c41098e2e3dab88d8a8ae413eb8"/>
    <w:p>
      <w:pPr>
        <w:pStyle w:val="Heading2"/>
      </w:pPr>
      <w:r>
        <w:t xml:space="preserve">Empat Pilar Pengungkapan dalam IFRS S1 &amp; S2</w:t>
      </w:r>
    </w:p>
    <w:p>
      <w:pPr>
        <w:pStyle w:val="FirstParagraph"/>
      </w:pPr>
      <w:r>
        <w:t xml:space="preserve">Kedua standar memakai empat pilar warisan kerangka TCFD, yaitu tata kelola, strategi, manajemen risiko, serta metrik dan target. Struktur yang sama ini berlaku baik untuk topik keberlanjutan umum (IFRS S1) maupun iklim (IFRS S2), sehingga pengungkapan perusahaan menjadi seragam dan lebih mudah dibandingkan oleh pembaca laporan.</w:t>
      </w:r>
    </w:p>
    <w:p>
      <w:pPr>
        <w:pStyle w:val="Compact"/>
        <w:numPr>
          <w:ilvl w:val="0"/>
          <w:numId w:val="1001"/>
        </w:numPr>
      </w:pPr>
      <w:r>
        <w:rPr>
          <w:b/>
          <w:bCs/>
        </w:rPr>
        <w:t xml:space="preserve">Tata kelola.</w:t>
      </w:r>
      <w:r>
        <w:t xml:space="preserve"> </w:t>
      </w:r>
      <w:r>
        <w:t xml:space="preserve">Peran dewan dan manajemen dalam mengawasi risiko serta peluang keberlanjutan.</w:t>
      </w:r>
    </w:p>
    <w:p>
      <w:pPr>
        <w:pStyle w:val="Compact"/>
        <w:numPr>
          <w:ilvl w:val="0"/>
          <w:numId w:val="1001"/>
        </w:numPr>
      </w:pPr>
      <w:r>
        <w:rPr>
          <w:b/>
          <w:bCs/>
        </w:rPr>
        <w:t xml:space="preserve">Strategi.</w:t>
      </w:r>
      <w:r>
        <w:t xml:space="preserve"> </w:t>
      </w:r>
      <w:r>
        <w:t xml:space="preserve">Dampak risiko dan peluang terhadap model bisnis, strategi, dan arus kas pada jangka pendek, menengah, hingga panjang.</w:t>
      </w:r>
    </w:p>
    <w:p>
      <w:pPr>
        <w:pStyle w:val="Compact"/>
        <w:numPr>
          <w:ilvl w:val="0"/>
          <w:numId w:val="1001"/>
        </w:numPr>
      </w:pPr>
      <w:r>
        <w:rPr>
          <w:b/>
          <w:bCs/>
        </w:rPr>
        <w:t xml:space="preserve">Manajemen risiko.</w:t>
      </w:r>
      <w:r>
        <w:t xml:space="preserve"> </w:t>
      </w:r>
      <w:r>
        <w:t xml:space="preserve">Proses mengidentifikasi, menilai, memprioritaskan, dan memantau risiko, serta cara mengintegrasikannya ke manajemen risiko perusahaan.</w:t>
      </w:r>
    </w:p>
    <w:p>
      <w:pPr>
        <w:pStyle w:val="Compact"/>
        <w:numPr>
          <w:ilvl w:val="0"/>
          <w:numId w:val="1001"/>
        </w:numPr>
      </w:pPr>
      <w:r>
        <w:rPr>
          <w:b/>
          <w:bCs/>
        </w:rPr>
        <w:t xml:space="preserve">Metrik dan target.</w:t>
      </w:r>
      <w:r>
        <w:t xml:space="preserve"> </w:t>
      </w:r>
      <w:r>
        <w:t xml:space="preserve">Kinerja yang terukur. Khusus IFRS S2, bagian ini mencakup emisi Scope 1, 2, dan 3 yang diukur mengikuti GHG Protocol (</w:t>
      </w:r>
      <w:r>
        <w:rPr>
          <w:i/>
          <w:iCs/>
        </w:rPr>
        <w:t xml:space="preserve">Greenhouse Gas Protocol</w:t>
      </w:r>
      <w:r>
        <w:t xml:space="preserve">), analisis skenario iklim, serta rencana transisi bila ada.</w:t>
      </w:r>
    </w:p>
    <w:p>
      <w:pPr>
        <w:pStyle w:val="FirstParagraph"/>
      </w:pPr>
      <w:r>
        <w:t xml:space="preserve">Pada pilar terakhir, perusahaan melaporkan metrik absolut maupun intensitas (misalnya ton setara CO2), bukan klaim kualitatif. Satu hal membedakan ISSB dari kerangka lain: fokusnya pada materialitas keuangan, yakni informasi yang penting bagi keputusan investor, berbeda dari</w:t>
      </w:r>
      <w:r>
        <w:t xml:space="preserve"> </w:t>
      </w:r>
      <w:r>
        <w:rPr>
          <w:i/>
          <w:iCs/>
        </w:rPr>
        <w:t xml:space="preserve">double materiality</w:t>
      </w:r>
      <w:r>
        <w:t xml:space="preserve"> </w:t>
      </w:r>
      <w:r>
        <w:t xml:space="preserve">yang dipakai kerangka Uni Eropa (CSRD,</w:t>
      </w:r>
      <w:r>
        <w:t xml:space="preserve"> </w:t>
      </w:r>
      <w:r>
        <w:rPr>
          <w:i/>
          <w:iCs/>
        </w:rPr>
        <w:t xml:space="preserve">Corporate Sustainability Reporting Directive</w:t>
      </w:r>
      <w:r>
        <w:t xml:space="preserve">). Penerapannya pun bertahap. Pada tahun pertama, perusahaan boleh berfokus pada pengungkapan iklim lebih dulu (opsi</w:t>
      </w:r>
      <w:r>
        <w:t xml:space="preserve"> </w:t>
      </w:r>
      <w:r>
        <w:rPr>
          <w:i/>
          <w:iCs/>
        </w:rPr>
        <w:t xml:space="preserve">climate first</w:t>
      </w:r>
      <w:r>
        <w:t xml:space="preserve">) dan menunda pengungkapan emisi Scope 3 serta data pembanding.</w:t>
      </w:r>
    </w:p>
    <w:bookmarkEnd w:id="19"/>
    <w:bookmarkStart w:id="23" w:name="apa-dampak-ifrs-s1-s2-bagi-perusahaan"/>
    <w:p>
      <w:pPr>
        <w:pStyle w:val="Heading2"/>
      </w:pPr>
      <w:r>
        <w:t xml:space="preserve">Apa Dampak IFRS S1 &amp; S2 bagi Perusahaan?</w:t>
      </w:r>
    </w:p>
    <w:p>
      <w:pPr>
        <w:pStyle w:val="FirstParagraph"/>
      </w:pPr>
      <w:r>
        <w:t xml:space="preserve">Dampak terbesarnya, standar ini menaikkan kelas laporan dari narasi sukarela menjadi angka keberlanjutan yang setara kualitas informasi bagi investor (</w:t>
      </w:r>
      <w:r>
        <w:rPr>
          <w:i/>
          <w:iCs/>
        </w:rPr>
        <w:t xml:space="preserve">investor-grade</w:t>
      </w:r>
      <w:r>
        <w:t xml:space="preserve">): dapat dibandingkan, tertelusur, dan diaudit setara data keuangan. Konsekuensinya praktis. Data tidak lagi cukup direkap dari spreadsheet terpisah menjelang tenggat, melainkan harus bisa ditarik dari sistem inti perusahaan.</w:t>
      </w:r>
    </w:p>
    <w:p>
      <w:pPr>
        <w:pStyle w:val="BodyText"/>
      </w:pPr>
      <w:r>
        <w:t xml:space="preserve">Perubahannya mendasar. Laporan keberlanjutan kini diperlakukan sebagai informasi keuangan: diterbitkan untuk periode pelaporan yang sama dan tunduk pada tingkat ketelitian serupa. Adopsinya pun meluas cepat; IFRS Foundation mencatat lebih dari 40 yurisdiksi telah mengadopsi atau menyiapkan kerangka ISSB pada awal 2026.</w:t>
      </w:r>
    </w:p>
    <w:p>
      <w:pPr>
        <w:pStyle w:val="BodyText"/>
      </w:pPr>
      <w:r>
        <w:t xml:space="preserve">Di Indonesia, IFRS S1 dan S2 diterjemahkan menjadi Standar Pengungkapan Keberlanjutan (SPK): PSPK 1 yang sejalan dengan S1 dan PSPK 2 yang sejalan dengan S2. Menurut</w:t>
      </w:r>
      <w:r>
        <w:t xml:space="preserve"> </w:t>
      </w:r>
      <w:hyperlink r:id="rId20">
        <w:r>
          <w:rPr>
            <w:rStyle w:val="Hyperlink"/>
          </w:rPr>
          <w:t xml:space="preserve">Dewan Standar Keberlanjutan Ikatan Akuntan Indonesia (DSK IAI)</w:t>
        </w:r>
      </w:hyperlink>
      <w:r>
        <w:t xml:space="preserve">, keduanya disahkan pada 1 Juli 2025 dan dijadwalkan efektif 1 Januari 2027. Otoritas Jasa Keuangan (OJK) sedang menyelaraskan POJK 51/2017 melalui revisi yang konsultasi publiknya berlangsung awal 2026 dan aturan finalnya masih dalam proses. Satu catatan penting: banyak sumber lokal keliru menulis standar ini</w:t>
      </w:r>
      <w:r>
        <w:t xml:space="preserve"> </w:t>
      </w:r>
      <w:r>
        <w:t xml:space="preserve">“berlaku 2024”</w:t>
      </w:r>
      <w:r>
        <w:t xml:space="preserve"> </w:t>
      </w:r>
      <w:r>
        <w:t xml:space="preserve">di Indonesia; 1 Januari 2024 adalah tanggal efektif global, sedangkan jalur nasional lewat SPK menuju 2027.</w:t>
      </w:r>
    </w:p>
    <w:p>
      <w:pPr>
        <w:pStyle w:val="BodyText"/>
      </w:pPr>
      <w:r>
        <w:t xml:space="preserve">Pergeseran ini menjelaskan pola yang sering muncul di lapangan: kendala terbesar biasanya bukan memahami standarnya, melainkan menarik data Scope 3 yang tersebar di luar sistem inti. Makin ketat standar yang berlaku, makin perusahaan perlu tahu dari mana setiap angka ditarik dan dikonsolidasikan. Di sinilah dasbor terpusat seperti</w:t>
      </w:r>
      <w:r>
        <w:t xml:space="preserve"> </w:t>
      </w:r>
      <w:hyperlink r:id="rId21">
        <w:r>
          <w:rPr>
            <w:rStyle w:val="Hyperlink"/>
          </w:rPr>
          <w:t xml:space="preserve">SAP Sustainability Control Tower</w:t>
        </w:r>
      </w:hyperlink>
      <w:r>
        <w:t xml:space="preserve"> </w:t>
      </w:r>
      <w:r>
        <w:t xml:space="preserve">membantu menghimpun dan mengaudit data ESG dari banyak sumber, meski pemetaan akhir ke format SPK tetap pekerjaan tim pelaporan dan auditor. Membereskan fondasi data lebih awal, misalnya lewat</w:t>
      </w:r>
      <w:r>
        <w:t xml:space="preserve"> </w:t>
      </w:r>
      <w:hyperlink r:id="rId22">
        <w:r>
          <w:rPr>
            <w:rStyle w:val="Hyperlink"/>
          </w:rPr>
          <w:t xml:space="preserve">solusi sustainability berbasis SAP</w:t>
        </w:r>
      </w:hyperlink>
      <w:r>
        <w:t xml:space="preserve"> </w:t>
      </w:r>
      <w:r>
        <w:t xml:space="preserve">yang lebih luas, membuat perusahaan lebih siap saat SPK benar-benar berlaku.</w:t>
      </w:r>
    </w:p>
    <w:bookmarkEnd w:id="23"/>
    <w:bookmarkStart w:id="29" w:name="faq-pertanyaan-yang-sering-diajukan"/>
    <w:p>
      <w:pPr>
        <w:pStyle w:val="Heading2"/>
      </w:pPr>
      <w:r>
        <w:t xml:space="preserve">FAQ (Pertanyaan yang Sering Diajukan)</w:t>
      </w:r>
    </w:p>
    <w:bookmarkStart w:id="24" w:name="apa-itu-issb"/>
    <w:p>
      <w:pPr>
        <w:pStyle w:val="Heading3"/>
      </w:pPr>
      <w:r>
        <w:t xml:space="preserve">Apa itu ISSB?</w:t>
      </w:r>
    </w:p>
    <w:p>
      <w:pPr>
        <w:pStyle w:val="FirstParagraph"/>
      </w:pPr>
      <w:r>
        <w:t xml:space="preserve">ISSB (</w:t>
      </w:r>
      <w:r>
        <w:rPr>
          <w:i/>
          <w:iCs/>
        </w:rPr>
        <w:t xml:space="preserve">International Sustainability Standards Board</w:t>
      </w:r>
      <w:r>
        <w:t xml:space="preserve">) adalah badan penyusun standar independen di bawah IFRS Foundation, yang pembentukannya diumumkan di COP26 Glasgow pada 3 November 2021. ISSB menerbitkan IFRS S1 dan S2 pada 26 Juni 2023 sebagai standar pengungkapan keberlanjutan global pertamanya.</w:t>
      </w:r>
    </w:p>
    <w:bookmarkEnd w:id="24"/>
    <w:bookmarkStart w:id="25" w:name="apakah-ifrs-s1-dan-s2-wajib-di-indonesia"/>
    <w:p>
      <w:pPr>
        <w:pStyle w:val="Heading3"/>
      </w:pPr>
      <w:r>
        <w:t xml:space="preserve">Apakah IFRS S1 dan S2 wajib di Indonesia?</w:t>
      </w:r>
    </w:p>
    <w:p>
      <w:pPr>
        <w:pStyle w:val="FirstParagraph"/>
      </w:pPr>
      <w:r>
        <w:t xml:space="preserve">Belum berlaku penuh. Indonesia mengadopsinya lewat Standar Pengungkapan Keberlanjutan, yaitu PSPK 1 dan PSPK 2, yang disahkan Dewan Standar Keberlanjutan IAI pada 1 Juli 2025 dan dijadwalkan efektif 1 Januari 2027. Perusahaan kini berada pada masa transisi menuju tenggat tersebut.</w:t>
      </w:r>
    </w:p>
    <w:bookmarkEnd w:id="25"/>
    <w:bookmarkStart w:id="26" w:name="apa-hubungan-ifrs-s2-dengan-tcfd"/>
    <w:p>
      <w:pPr>
        <w:pStyle w:val="Heading3"/>
      </w:pPr>
      <w:r>
        <w:t xml:space="preserve">Apa hubungan IFRS S2 dengan TCFD?</w:t>
      </w:r>
    </w:p>
    <w:p>
      <w:pPr>
        <w:pStyle w:val="FirstParagraph"/>
      </w:pPr>
      <w:r>
        <w:t xml:space="preserve">IFRS S2 dibangun di atas kerangka Task Force on Climate-related Financial Disclosures (TCFD) dan memakai empat pilarnya. Sejak 2024, pemantauan pengungkapan iklim beralih dari TCFD ke IFRS Foundation karena S2 telah menyerap penuh rekomendasi TCFD, menjadikannya penerus TCFD secara efektif.</w:t>
      </w:r>
    </w:p>
    <w:bookmarkEnd w:id="26"/>
    <w:bookmarkStart w:id="27" w:name="apa-itu-emisi-scope-1-2-dan-3"/>
    <w:p>
      <w:pPr>
        <w:pStyle w:val="Heading3"/>
      </w:pPr>
      <w:r>
        <w:t xml:space="preserve">Apa itu emisi Scope 1, 2, dan 3?</w:t>
      </w:r>
    </w:p>
    <w:p>
      <w:pPr>
        <w:pStyle w:val="FirstParagraph"/>
      </w:pPr>
      <w:r>
        <w:t xml:space="preserve">Scope 1 adalah emisi langsung dari sumber milik atau kendali perusahaan; Scope 2 emisi tidak langsung dari energi yang dibeli; Scope 3 emisi tidak langsung di sepanjang rantai nilai. IFRS S2 mewajibkan ketiganya diukur mengikuti GHG Protocol, dengan kelonggaran Scope 3 pada tahun pertama penerapan.</w:t>
      </w:r>
    </w:p>
    <w:bookmarkEnd w:id="27"/>
    <w:bookmarkStart w:id="28" w:name="apa-bedanya-ifrs-s1s2-dengan-gri"/>
    <w:p>
      <w:pPr>
        <w:pStyle w:val="Heading3"/>
      </w:pPr>
      <w:r>
        <w:t xml:space="preserve">Apa bedanya IFRS S1/S2 dengan GRI?</w:t>
      </w:r>
    </w:p>
    <w:p>
      <w:pPr>
        <w:pStyle w:val="FirstParagraph"/>
      </w:pPr>
      <w:r>
        <w:t xml:space="preserve">IFRS S1 dan S2 memakai materialitas keuangan, yakni informasi yang penting bagi investor; GRI (</w:t>
      </w:r>
      <w:r>
        <w:rPr>
          <w:i/>
          <w:iCs/>
        </w:rPr>
        <w:t xml:space="preserve">Global Reporting Initiative</w:t>
      </w:r>
      <w:r>
        <w:t xml:space="preserve">) memakai</w:t>
      </w:r>
      <w:r>
        <w:t xml:space="preserve"> </w:t>
      </w:r>
      <w:r>
        <w:rPr>
          <w:i/>
          <w:iCs/>
        </w:rPr>
        <w:t xml:space="preserve">impact materiality</w:t>
      </w:r>
      <w:r>
        <w:t xml:space="preserve">, yaitu dampak perusahaan terhadap lingkungan dan masyarakat. Keduanya dapat saling melengkapi. IFRS Foundation dan EFRAG telah menerbitkan panduan interoperabilitas pada Mei 2024 untuk pengungkapan iklim.</w:t>
      </w:r>
    </w:p>
    <w:bookmarkEnd w:id="28"/>
    <w:bookmarkEnd w:id="29"/>
    <w:bookmarkStart w:id="30" w:name="kesimpulan"/>
    <w:p>
      <w:pPr>
        <w:pStyle w:val="Heading2"/>
      </w:pPr>
      <w:r>
        <w:t xml:space="preserve">Kesimpulan</w:t>
      </w:r>
    </w:p>
    <w:p>
      <w:pPr>
        <w:pStyle w:val="FirstParagraph"/>
      </w:pPr>
      <w:r>
        <w:t xml:space="preserve">IFRS S1 dan S2 memindahkan laporan keberlanjutan dari wilayah narasi ke wilayah angka yang bisa diaudit, dengan jalur Indonesia (SPK) menuju 2027. Hambatan praktisnya jarang soal memahami standar, lebih sering soal ketertelusuran data. Sebagai SAP Platinum Partner melalui United VARs dan bagian dari Metrodata Group sejak 1998, Soltius mengimplementasikan dan mendampingi solusi SAP Sustainability agar angka keberlanjutan tertelusur ke sistem inti dan siap diaudit saat standar baru berlaku.</w:t>
      </w:r>
    </w:p>
    <w:p>
      <w:pPr>
        <w:pStyle w:val="BodyText"/>
      </w:pPr>
      <w:r>
        <w:t xml:space="preserve">Untuk menilai kesiapan data keberlanjutan perusahaan Anda menghadapi IFRS S1 &amp; S2, jelajahi solusi SAP Sustainability di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eb.iaiglobal.or.id/" TargetMode="External" /><Relationship Type="http://schemas.openxmlformats.org/officeDocument/2006/relationships/hyperlink" Id="rId17" Target="https://www.ifrs.org/issued-standards/ifrs-sustainability-standards-navigator/" TargetMode="External" /><Relationship Type="http://schemas.openxmlformats.org/officeDocument/2006/relationships/hyperlink" Id="rId21" Target="https://www.soltius.co.id/id/blog/apa-itu-sap-sustainability-control-tower-sct-dasbor-terpusat-untuk-data-esg" TargetMode="External" /><Relationship Type="http://schemas.openxmlformats.org/officeDocument/2006/relationships/hyperlink" Id="rId22" Target="https://www.soltius.co.id/id/solutions-by-products/sustainability" TargetMode="External" /></Relationships>
</file>

<file path=word/_rels/footnotes.xml.rels><?xml version="1.0" encoding="UTF-8"?><Relationships xmlns="http://schemas.openxmlformats.org/package/2006/relationships"><Relationship Type="http://schemas.openxmlformats.org/officeDocument/2006/relationships/hyperlink" Id="rId20" Target="https://web.iaiglobal.or.id/" TargetMode="External" /><Relationship Type="http://schemas.openxmlformats.org/officeDocument/2006/relationships/hyperlink" Id="rId17" Target="https://www.ifrs.org/issued-standards/ifrs-sustainability-standards-navigator/" TargetMode="External" /><Relationship Type="http://schemas.openxmlformats.org/officeDocument/2006/relationships/hyperlink" Id="rId21" Target="https://www.soltius.co.id/id/blog/apa-itu-sap-sustainability-control-tower-sct-dasbor-terpusat-untuk-data-esg" TargetMode="External" /><Relationship Type="http://schemas.openxmlformats.org/officeDocument/2006/relationships/hyperlink" Id="rId22" Target="https://www.soltius.co.id/id/solutions-by-products/sustain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2026-10-08T11:04:59Z</dcterms:created>
  <dcterms:modified xsi:type="dcterms:W3CDTF">2026-10-08T11:04:59Z</dcterms:modified>
</cp:coreProperties>
</file>

<file path=docProps/custom.xml><?xml version="1.0" encoding="utf-8"?>
<Properties xmlns="http://schemas.openxmlformats.org/officeDocument/2006/custom-properties" xmlns:vt="http://schemas.openxmlformats.org/officeDocument/2006/docPropsVTypes"/>
</file>