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Butuh Budaya Data, Bukan Cuma Tools"</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Bangun Budaya Data, Bukan Tools"</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gagal berdampak karena budaya data lemah, bukan tools kurang. Panduan literasi data, 4 tahap kematangan, peran CDO, dan kapan Anda belum siap."</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"business-intelligence-budaya-data"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"budaya data"</w:t>
      </w:r>
      <w:r>
        <w:br/>
      </w:r>
      <w:r>
        <w:rPr>
          <w:rStyle w:val="AttributeTok"/>
        </w:rPr>
        <w:t xml:space="preserve">  </w:t>
      </w:r>
      <w:r>
        <w:rPr>
          <w:rStyle w:val="KeywordTok"/>
        </w:rPr>
        <w:t xml:space="preserve">-</w:t>
      </w:r>
      <w:r>
        <w:rPr>
          <w:rStyle w:val="AttributeTok"/>
        </w:rPr>
        <w:t xml:space="preserve"> </w:t>
      </w:r>
      <w:r>
        <w:rPr>
          <w:rStyle w:val="StringTok"/>
        </w:rPr>
        <w:t xml:space="preserve">"literasi data"</w:t>
      </w:r>
      <w:r>
        <w:br/>
      </w:r>
      <w:r>
        <w:rPr>
          <w:rStyle w:val="AttributeTok"/>
        </w:rPr>
        <w:t xml:space="preserve">  </w:t>
      </w:r>
      <w:r>
        <w:rPr>
          <w:rStyle w:val="KeywordTok"/>
        </w:rPr>
        <w:t xml:space="preserve">-</w:t>
      </w:r>
      <w:r>
        <w:rPr>
          <w:rStyle w:val="AttributeTok"/>
        </w:rPr>
        <w:t xml:space="preserve"> </w:t>
      </w:r>
      <w:r>
        <w:rPr>
          <w:rStyle w:val="StringTok"/>
        </w:rPr>
        <w:t xml:space="preserve">"data-driven culture"</w:t>
      </w:r>
      <w:r>
        <w:br/>
      </w:r>
      <w:r>
        <w:rPr>
          <w:rStyle w:val="AttributeTok"/>
        </w:rPr>
        <w:t xml:space="preserve">  </w:t>
      </w:r>
      <w:r>
        <w:rPr>
          <w:rStyle w:val="KeywordTok"/>
        </w:rPr>
        <w:t xml:space="preserve">-</w:t>
      </w:r>
      <w:r>
        <w:rPr>
          <w:rStyle w:val="AttributeTok"/>
        </w:rPr>
        <w:t xml:space="preserve"> </w:t>
      </w:r>
      <w:r>
        <w:rPr>
          <w:rStyle w:val="StringTok"/>
        </w:rPr>
        <w:t xml:space="preserve">"pengambilan keputusan berbasis data"</w:t>
      </w:r>
      <w:r>
        <w:br/>
      </w:r>
      <w:r>
        <w:rPr>
          <w:rStyle w:val="AttributeTok"/>
        </w:rPr>
        <w:t xml:space="preserve">  </w:t>
      </w:r>
      <w:r>
        <w:rPr>
          <w:rStyle w:val="KeywordTok"/>
        </w:rPr>
        <w:t xml:space="preserve">-</w:t>
      </w:r>
      <w:r>
        <w:rPr>
          <w:rStyle w:val="AttributeTok"/>
        </w:rPr>
        <w:t xml:space="preserve"> </w:t>
      </w:r>
      <w:r>
        <w:rPr>
          <w:rStyle w:val="StringTok"/>
        </w:rPr>
        <w:t xml:space="preserve">"Chief Data Officer"</w:t>
      </w:r>
      <w:r>
        <w:br/>
      </w:r>
      <w:r>
        <w:rPr>
          <w:rStyle w:val="AttributeTok"/>
        </w:rPr>
        <w:t xml:space="preserve">  </w:t>
      </w:r>
      <w:r>
        <w:rPr>
          <w:rStyle w:val="KeywordTok"/>
        </w:rPr>
        <w:t xml:space="preserve">-</w:t>
      </w:r>
      <w:r>
        <w:rPr>
          <w:rStyle w:val="AttributeTok"/>
        </w:rPr>
        <w:t xml:space="preserve"> </w:t>
      </w:r>
      <w:r>
        <w:rPr>
          <w:rStyle w:val="StringTok"/>
        </w:rPr>
        <w:t xml:space="preserve">"adopsi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"data champion"</w:t>
      </w:r>
      <w:r>
        <w:br/>
      </w:r>
      <w:r>
        <w:rPr>
          <w:rStyle w:val="AttributeTok"/>
        </w:rPr>
        <w:t xml:space="preserve">  </w:t>
      </w:r>
      <w:r>
        <w:rPr>
          <w:rStyle w:val="KeywordTok"/>
        </w:rPr>
        <w:t xml:space="preserve">-</w:t>
      </w:r>
      <w:r>
        <w:rPr>
          <w:rStyle w:val="AttributeTok"/>
        </w:rPr>
        <w:t xml:space="preserve"> </w:t>
      </w:r>
      <w:r>
        <w:rPr>
          <w:rStyle w:val="StringTok"/>
        </w:rPr>
        <w:t xml:space="preserve">"kematangan budaya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"https://www.gartner.com/en/newsroom/press-releases/2024-01-29-gartner-predicts-more-than-50-percent-of-cdaos-will-secure-funding-for-data-literacy-and-ai-literacy-programs-by-2027"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"&gt;50% CDAO akan mengamankan pendanaan program literasi data dan AI pada 2027"</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"https://www.datacamp.com/blog/the-state-of-data-and-ai-literacy-in-2026-definitions-statistics-and-the-ai-skills-gap"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"88% pemimpin menilai literasi data penting; 60% melaporkan data skills gap; hanya 42% melatih dalam skala besar"</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1943</w:t>
      </w:r>
    </w:p>
    <w:p>
      <w:r>
        <w:pict>
          <v:rect style="width:0;height:1.5pt" o:hralign="center" o:hrstd="t" o:hr="t"/>
        </w:pict>
      </w:r>
    </w:p>
    <w:bookmarkEnd w:id="16"/>
    <w:bookmarkStart w:id="34" w:name="X700325b7df3453deab7078a003684f64d651141"/>
    <w:p>
      <w:pPr>
        <w:pStyle w:val="Heading1"/>
      </w:pPr>
      <w:r>
        <w:t xml:space="preserve">Business Intelligence Butuh Budaya Data, Bukan Cuma Tools</w:t>
      </w:r>
    </w:p>
    <w:p>
      <w:pPr>
        <w:pStyle w:val="FirstParagraph"/>
      </w:pPr>
      <w:r>
        <w:t xml:space="preserve">Lisensi sudah dibeli, dashboard sudah jadi, konsultan sudah pulang. Tetapi enam bulan kemudian, keputusan penting di rapat direksi masih diambil berdasarkan</w:t>
      </w:r>
      <w:r>
        <w:t xml:space="preserve"> </w:t>
      </w:r>
      <w:r>
        <w:t xml:space="preserve">“feeling”</w:t>
      </w:r>
      <w:r>
        <w:t xml:space="preserve"> </w:t>
      </w:r>
      <w:r>
        <w:t xml:space="preserve">dan angka yang paling keras disuarakan orang paling senior. Ini pola yang jauh lebih umum daripada yang mau diakui vendor, dan masalahnya biasanya bukan pada</w:t>
      </w:r>
      <w:r>
        <w:t xml:space="preserve"> </w:t>
      </w:r>
      <w:r>
        <w:rPr>
          <w:i/>
          <w:iCs/>
        </w:rPr>
        <w:t xml:space="preserve">tools</w:t>
      </w:r>
      <w:r>
        <w:t xml:space="preserve">. Artikel ini membahas akar yang jarang dituntaskan:</w:t>
      </w:r>
      <w:r>
        <w:t xml:space="preserve"> </w:t>
      </w:r>
      <w:hyperlink r:id="rId17">
        <w:r>
          <w:rPr>
            <w:rStyle w:val="Hyperlink"/>
          </w:rPr>
          <w:t xml:space="preserve">Business Intelligence</w:t>
        </w:r>
      </w:hyperlink>
      <w:r>
        <w:t xml:space="preserve"> </w:t>
      </w:r>
      <w:r>
        <w:t xml:space="preserve">adalah proyek budaya sebelum proyek teknologi, dan tanpa</w:t>
      </w:r>
      <w:r>
        <w:t xml:space="preserve"> </w:t>
      </w:r>
      <w:r>
        <w:rPr>
          <w:i/>
          <w:iCs/>
        </w:rPr>
        <w:t xml:space="preserve">data literacy</w:t>
      </w:r>
      <w:r>
        <w:t xml:space="preserve"> </w:t>
      </w:r>
      <w:r>
        <w:t xml:space="preserve">serta budaya data yang tumbuh, platform secanggih apa pun berakhir sebagai</w:t>
      </w:r>
      <w:r>
        <w:t xml:space="preserve"> </w:t>
      </w:r>
      <w:r>
        <w:rPr>
          <w:i/>
          <w:iCs/>
        </w:rPr>
        <w:t xml:space="preserve">shelfware</w:t>
      </w:r>
      <w:r>
        <w:t xml:space="preserve">.</w:t>
      </w:r>
    </w:p>
    <w:p>
      <w:pPr>
        <w:pStyle w:val="BlockText"/>
      </w:pPr>
      <w:r>
        <w:rPr>
          <w:b/>
          <w:bCs/>
        </w:rPr>
        <w:t xml:space="preserve">Ringkas:</w:t>
      </w:r>
      <w:r>
        <w:t xml:space="preserve"> </w:t>
      </w:r>
      <w:r>
        <w:t xml:space="preserve">Budaya data (</w:t>
      </w:r>
      <w:r>
        <w:rPr>
          <w:i/>
          <w:iCs/>
        </w:rPr>
        <w:t xml:space="preserve">data-driven culture</w:t>
      </w:r>
      <w:r>
        <w:t xml:space="preserve">) adalah sistem keyakinan dan kebiasaan organisasi yang menjadikan data, bukan intuisi, sebagai rujukan utama dalam keputusan. Dalam Business Intelligence, budaya inilah penentu keberhasilan: tanpa kepercayaan pada angka dan literasi data yang memadai, dashboard secanggih apa pun hanya menjadi</w:t>
      </w:r>
      <w:r>
        <w:t xml:space="preserve"> </w:t>
      </w:r>
      <w:r>
        <w:rPr>
          <w:i/>
          <w:iCs/>
        </w:rPr>
        <w:t xml:space="preserve">shelfware</w:t>
      </w:r>
      <w:r>
        <w:t xml:space="preserve">. Teknologi menyediakan datanya; budaya yang membuat data benar-benar dipakai.</w:t>
      </w:r>
    </w:p>
    <w:p>
      <w:pPr>
        <w:pStyle w:val="FirstParagraph"/>
      </w:pPr>
      <w:r>
        <w:t xml:space="preserve">Kita akan mulai dari mengapa BI bergantung pada budaya, memisahkan literasi data dari budaya data yang sering tertukar, memetakan empat tahap kematangan budaya data yang bisa langsung Anda cocokkan, lalu menutup dengan bagian yang paling jarang ditulis: kapan Anda justru belum siap membangunnya.</w:t>
      </w:r>
    </w:p>
    <w:bookmarkStart w:id="18" w:name="Xe40507ef29f07d15d301e22bec97ee524106ce9"/>
    <w:p>
      <w:pPr>
        <w:pStyle w:val="Heading2"/>
      </w:pPr>
      <w:r>
        <w:t xml:space="preserve">Apa itu budaya data dan mengapa Business Intelligence bergantung padanya?</w:t>
      </w:r>
    </w:p>
    <w:p>
      <w:pPr>
        <w:pStyle w:val="FirstParagraph"/>
      </w:pPr>
      <w:r>
        <w:t xml:space="preserve">Budaya data adalah kebiasaan kolektif menjadikan angka sebagai titik awal diskusi, bukan pelengkap setelah keputusan diambil. Business Intelligence bergantung padanya karena BI hanya menyajikan data; ia tidak bisa memaksa orang mempercayai atau memakainya. Tanpa budaya, investasi BI berhenti sebagai dashboard yang jarang dibuka.</w:t>
      </w:r>
    </w:p>
    <w:p>
      <w:pPr>
        <w:pStyle w:val="BodyText"/>
      </w:pPr>
      <w:r>
        <w:t xml:space="preserve">Buktinya ada di angka adopsi. Survei BARC dan Eckerson Group terhadap 214 perusahaan menemukan rata-rata hanya sekitar</w:t>
      </w:r>
      <w:r>
        <w:t xml:space="preserve"> </w:t>
      </w:r>
      <w:r>
        <w:rPr>
          <w:b/>
          <w:bCs/>
        </w:rPr>
        <w:t xml:space="preserve">25% karyawan</w:t>
      </w:r>
      <w:r>
        <w:t xml:space="preserve"> </w:t>
      </w:r>
      <w:r>
        <w:t xml:space="preserve">yang benar-benar aktif memakai tool BI dan analitik, dan angka itu nyaris tak bergerak dalam tujuh tahun terakhir. Dari survei yang sama, pendorong adopsi nomor satu bukan fitur baru, melainkan</w:t>
      </w:r>
      <w:r>
        <w:t xml:space="preserve"> </w:t>
      </w:r>
      <w:r>
        <w:t xml:space="preserve">“perubahan budaya data”</w:t>
      </w:r>
      <w:r>
        <w:t xml:space="preserve"> </w:t>
      </w:r>
      <w:r>
        <w:t xml:space="preserve">(dipilih</w:t>
      </w:r>
      <w:r>
        <w:t xml:space="preserve"> </w:t>
      </w:r>
      <w:r>
        <w:rPr>
          <w:b/>
          <w:bCs/>
        </w:rPr>
        <w:t xml:space="preserve">51%</w:t>
      </w:r>
      <w:r>
        <w:t xml:space="preserve"> </w:t>
      </w:r>
      <w:r>
        <w:t xml:space="preserve">responden), di atas hadirnya eksekutif yang</w:t>
      </w:r>
      <w:r>
        <w:t xml:space="preserve"> </w:t>
      </w:r>
      <w:r>
        <w:rPr>
          <w:i/>
          <w:iCs/>
        </w:rPr>
        <w:t xml:space="preserve">data-driven</w:t>
      </w:r>
      <w:r>
        <w:t xml:space="preserve">.</w:t>
      </w:r>
    </w:p>
    <w:p>
      <w:pPr>
        <w:pStyle w:val="BodyText"/>
      </w:pPr>
      <w:r>
        <w:t xml:space="preserve">Artinya masalahnya bukan teknis. Anda bisa membeli dashboard terbaik di pasar, tetapi jika seorang manajer tidak percaya pada angka penjualannya, atau tidak tahu cara membacanya, angka itu tidak akan mengubah keputusannya. Di titik inilah dua konsep sering dikaburkan: literasi data dan budaya data.</w:t>
      </w:r>
    </w:p>
    <w:bookmarkEnd w:id="18"/>
    <w:bookmarkStart w:id="19" w:name="Xf010ffb9d63492e8036f3c11f101fe7bcbdc948"/>
    <w:p>
      <w:pPr>
        <w:pStyle w:val="Heading2"/>
      </w:pPr>
      <w:r>
        <w:t xml:space="preserve">Literasi data vs budaya data: dua hal yang sering tertukar</w:t>
      </w:r>
    </w:p>
    <w:p>
      <w:pPr>
        <w:pStyle w:val="FirstParagraph"/>
      </w:pPr>
      <w:r>
        <w:t xml:space="preserve">Literasi data adalah keterampilan</w:t>
      </w:r>
      <w:r>
        <w:t xml:space="preserve"> </w:t>
      </w:r>
      <w:r>
        <w:rPr>
          <w:i/>
          <w:iCs/>
        </w:rPr>
        <w:t xml:space="preserve">individu</w:t>
      </w:r>
      <w:r>
        <w:t xml:space="preserve">; budaya data adalah sistem keyakinan</w:t>
      </w:r>
      <w:r>
        <w:t xml:space="preserve"> </w:t>
      </w:r>
      <w:r>
        <w:rPr>
          <w:i/>
          <w:iCs/>
        </w:rPr>
        <w:t xml:space="preserve">organisasi</w:t>
      </w:r>
      <w:r>
        <w:t xml:space="preserve">. Keduanya berbeda level, dan menyamakannya adalah salah satu kesalahan paling mahal dalam program BI. Literasi menjawab</w:t>
      </w:r>
      <w:r>
        <w:t xml:space="preserve"> </w:t>
      </w:r>
      <w:r>
        <w:t xml:space="preserve">“apakah orang ini bisa membaca data?”</w:t>
      </w:r>
      <w:r>
        <w:t xml:space="preserve">; budaya menjawab</w:t>
      </w:r>
      <w:r>
        <w:t xml:space="preserve"> </w:t>
      </w:r>
      <w:r>
        <w:t xml:space="preserve">“apakah organisasi ini memutuskan berdasarkan data?”</w:t>
      </w:r>
      <w:r>
        <w:t xml:space="preserve">.</w:t>
      </w:r>
    </w:p>
    <w:p>
      <w:pPr>
        <w:pStyle w:val="BodyText"/>
      </w:pPr>
      <w:r>
        <w:t xml:space="preserve">Literasi data yang lemah adalah kendala nyata, bukan teori. Menurut laporan DataCamp</w:t>
      </w:r>
      <w:r>
        <w:t xml:space="preserve"> </w:t>
      </w:r>
      <w:r>
        <w:rPr>
          <w:i/>
          <w:iCs/>
        </w:rPr>
        <w:t xml:space="preserve">State of Data &amp; AI Literacy 2026</w:t>
      </w:r>
      <w:r>
        <w:t xml:space="preserve"> </w:t>
      </w:r>
      <w:r>
        <w:t xml:space="preserve">(survei lebih dari 500 pemimpin enterprise di AS dan Inggris),</w:t>
      </w:r>
      <w:r>
        <w:t xml:space="preserve"> </w:t>
      </w:r>
      <w:r>
        <w:rPr>
          <w:b/>
          <w:bCs/>
        </w:rPr>
        <w:t xml:space="preserve">88%</w:t>
      </w:r>
      <w:r>
        <w:t xml:space="preserve"> </w:t>
      </w:r>
      <w:r>
        <w:t xml:space="preserve">pemimpin menilai literasi data penting untuk pekerjaan sehari-hari, tetapi</w:t>
      </w:r>
      <w:r>
        <w:t xml:space="preserve"> </w:t>
      </w:r>
      <w:r>
        <w:rPr>
          <w:b/>
          <w:bCs/>
        </w:rPr>
        <w:t xml:space="preserve">60%</w:t>
      </w:r>
      <w:r>
        <w:t xml:space="preserve"> </w:t>
      </w:r>
      <w:r>
        <w:t xml:space="preserve">mengakui organisasinya memiliki kesenjangan keterampilan data. Sampel ini bukan Indonesia, tetapi arahnya global dan konsisten dengan yang kami temui di lapangan.</w:t>
      </w:r>
    </w:p>
    <w:p>
      <w:pPr>
        <w:pStyle w:val="BodyText"/>
      </w:pPr>
      <w:r>
        <w:t xml:space="preserve">Keduanya saling bergantung. Literasi tanpa budaya menghasilkan orang yang bisa membaca grafik tetapi tetap memutuskan lewat naluri; budaya tanpa literasi menghasilkan antusiasme yang salah arah. Sebuah studi 2025 di sektor publik Indonesia bahkan menemukan literasi data memediasi hubungan antara budaya data dan kapabilitas analitik yang nyata, menegaskan bahwa budaya saja tidak cukup tanpa keterampilan.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Literasi data</w:t>
            </w:r>
          </w:p>
        </w:tc>
        <w:tc>
          <w:tcPr/>
          <w:p>
            <w:pPr>
              <w:pStyle w:val="Compact"/>
            </w:pPr>
            <w:r>
              <w:t xml:space="preserve">Budaya data (</w:t>
            </w:r>
            <w:r>
              <w:rPr>
                <w:i/>
                <w:iCs/>
              </w:rPr>
              <w:t xml:space="preserve">data-driven culture</w:t>
            </w:r>
            <w:r>
              <w:t xml:space="preserve">)</w:t>
            </w:r>
          </w:p>
        </w:tc>
      </w:tr>
      <w:tr>
        <w:tc>
          <w:tcPr/>
          <w:p>
            <w:pPr>
              <w:pStyle w:val="Compact"/>
            </w:pPr>
            <w:r>
              <w:t xml:space="preserve">Level</w:t>
            </w:r>
          </w:p>
        </w:tc>
        <w:tc>
          <w:tcPr/>
          <w:p>
            <w:pPr>
              <w:pStyle w:val="Compact"/>
            </w:pPr>
            <w:r>
              <w:t xml:space="preserve">Individu</w:t>
            </w:r>
          </w:p>
        </w:tc>
        <w:tc>
          <w:tcPr/>
          <w:p>
            <w:pPr>
              <w:pStyle w:val="Compact"/>
            </w:pPr>
            <w:r>
              <w:t xml:space="preserve">Organisasi</w:t>
            </w:r>
          </w:p>
        </w:tc>
      </w:tr>
      <w:tr>
        <w:tc>
          <w:tcPr/>
          <w:p>
            <w:pPr>
              <w:pStyle w:val="Compact"/>
            </w:pPr>
            <w:r>
              <w:t xml:space="preserve">Sifat</w:t>
            </w:r>
          </w:p>
        </w:tc>
        <w:tc>
          <w:tcPr/>
          <w:p>
            <w:pPr>
              <w:pStyle w:val="Compact"/>
            </w:pPr>
            <w:r>
              <w:t xml:space="preserve">Keterampilan (membaca, analisis, komunikasi data)</w:t>
            </w:r>
          </w:p>
        </w:tc>
        <w:tc>
          <w:tcPr/>
          <w:p>
            <w:pPr>
              <w:pStyle w:val="Compact"/>
            </w:pPr>
            <w:r>
              <w:t xml:space="preserve">Sistem keyakinan dan kebiasaan</w:t>
            </w:r>
          </w:p>
        </w:tc>
      </w:tr>
      <w:tr>
        <w:tc>
          <w:tcPr/>
          <w:p>
            <w:pPr>
              <w:pStyle w:val="Compact"/>
            </w:pPr>
            <w:r>
              <w:t xml:space="preserve">Dibangun lewat</w:t>
            </w:r>
          </w:p>
        </w:tc>
        <w:tc>
          <w:tcPr/>
          <w:p>
            <w:pPr>
              <w:pStyle w:val="Compact"/>
            </w:pPr>
            <w:r>
              <w:t xml:space="preserve">Pelatihan, mentoring,</w:t>
            </w:r>
            <w:r>
              <w:t xml:space="preserve"> </w:t>
            </w:r>
            <w:r>
              <w:rPr>
                <w:i/>
                <w:iCs/>
              </w:rPr>
              <w:t xml:space="preserve">data champion</w:t>
            </w:r>
          </w:p>
        </w:tc>
        <w:tc>
          <w:tcPr/>
          <w:p>
            <w:pPr>
              <w:pStyle w:val="Compact"/>
            </w:pPr>
            <w:r>
              <w:t xml:space="preserve">Kepemimpinan, tata kelola, insentif, SSOT</w:t>
            </w:r>
          </w:p>
        </w:tc>
      </w:tr>
      <w:tr>
        <w:tc>
          <w:tcPr/>
          <w:p>
            <w:pPr>
              <w:pStyle w:val="Compact"/>
            </w:pPr>
            <w:r>
              <w:t xml:space="preserve">Jika absen</w:t>
            </w:r>
          </w:p>
        </w:tc>
        <w:tc>
          <w:tcPr/>
          <w:p>
            <w:pPr>
              <w:pStyle w:val="Compact"/>
            </w:pPr>
            <w:r>
              <w:t xml:space="preserve">Data salah dibaca atau diabaikan</w:t>
            </w:r>
          </w:p>
        </w:tc>
        <w:tc>
          <w:tcPr/>
          <w:p>
            <w:pPr>
              <w:pStyle w:val="Compact"/>
            </w:pPr>
            <w:r>
              <w:t xml:space="preserve">Keputusan tetap berbasis</w:t>
            </w:r>
            <w:r>
              <w:t xml:space="preserve"> </w:t>
            </w:r>
            <w:r>
              <w:t xml:space="preserve">“feeling”</w:t>
            </w:r>
            <w:r>
              <w:t xml:space="preserve"> </w:t>
            </w:r>
            <w:r>
              <w:t xml:space="preserve">walau data ada</w:t>
            </w:r>
          </w:p>
        </w:tc>
      </w:tr>
      <w:tr>
        <w:tc>
          <w:tcPr/>
          <w:p>
            <w:pPr>
              <w:pStyle w:val="Compact"/>
            </w:pPr>
            <w:r>
              <w:t xml:space="preserve">Bukti (2026)</w:t>
            </w:r>
          </w:p>
        </w:tc>
        <w:tc>
          <w:tcPr/>
          <w:p>
            <w:pPr>
              <w:pStyle w:val="Compact"/>
            </w:pPr>
            <w:r>
              <w:t xml:space="preserve">88% menilai penting, 60%</w:t>
            </w:r>
            <w:r>
              <w:t xml:space="preserve"> </w:t>
            </w:r>
            <w:r>
              <w:rPr>
                <w:i/>
                <w:iCs/>
              </w:rPr>
              <w:t xml:space="preserve">skills gap</w:t>
            </w:r>
            <w:r>
              <w:t xml:space="preserve"> </w:t>
            </w:r>
            <w:r>
              <w:t xml:space="preserve">(DataCamp)</w:t>
            </w:r>
          </w:p>
        </w:tc>
        <w:tc>
          <w:tcPr/>
          <w:p>
            <w:pPr>
              <w:pStyle w:val="Compact"/>
            </w:pPr>
            <w:r>
              <w:t xml:space="preserve">Pemakaian BI stagnan ~25% (BARC/Eckerson)</w:t>
            </w:r>
          </w:p>
        </w:tc>
      </w:tr>
    </w:tbl>
    <w:bookmarkEnd w:id="19"/>
    <w:bookmarkStart w:id="21" w:name="Xc34292da54dc4bb1159915b67fa5bc43ea249b9"/>
    <w:p>
      <w:pPr>
        <w:pStyle w:val="Heading2"/>
      </w:pPr>
      <w:r>
        <w:t xml:space="preserve">Mengapa dashboard sudah ada tapi keputusan tetap berbasis</w:t>
      </w:r>
      <w:r>
        <w:t xml:space="preserve"> </w:t>
      </w:r>
      <w:r>
        <w:t xml:space="preserve">“feeling”</w:t>
      </w:r>
      <w:r>
        <w:t xml:space="preserve">?</w:t>
      </w:r>
    </w:p>
    <w:p>
      <w:pPr>
        <w:pStyle w:val="FirstParagraph"/>
      </w:pPr>
      <w:r>
        <w:t xml:space="preserve">Karena membangun dashboard hanya menyelesaikan sisi teknis, bukan sisi kepercayaan. Orang mengabaikan data ketika angka dari dua divisi tidak cocok, ketika definisi metrik berbeda antar tim, atau ketika mereka tak yakin cara menafsirkannya. Selama tiga hal ini belum dibereskan,</w:t>
      </w:r>
      <w:r>
        <w:t xml:space="preserve"> </w:t>
      </w:r>
      <w:r>
        <w:t xml:space="preserve">“feeling”</w:t>
      </w:r>
      <w:r>
        <w:t xml:space="preserve"> </w:t>
      </w:r>
      <w:r>
        <w:t xml:space="preserve">tetap terasa lebih aman.</w:t>
      </w:r>
    </w:p>
    <w:p>
      <w:pPr>
        <w:pStyle w:val="BodyText"/>
      </w:pPr>
      <w:r>
        <w:t xml:space="preserve">Akar pertama adalah</w:t>
      </w:r>
      <w:r>
        <w:t xml:space="preserve"> </w:t>
      </w:r>
      <w:r>
        <w:rPr>
          <w:i/>
          <w:iCs/>
        </w:rPr>
        <w:t xml:space="preserve">trust</w:t>
      </w:r>
      <w:r>
        <w:t xml:space="preserve">. Ketika laporan penjualan versi tim keuangan berbeda angka dengan versi tim</w:t>
      </w:r>
      <w:r>
        <w:t xml:space="preserve"> </w:t>
      </w:r>
      <w:r>
        <w:rPr>
          <w:i/>
          <w:iCs/>
        </w:rPr>
        <w:t xml:space="preserve">sales</w:t>
      </w:r>
      <w:r>
        <w:t xml:space="preserve">, rapat berubah jadi debat sumber data, bukan diskusi keputusan. Di sinilah</w:t>
      </w:r>
      <w:r>
        <w:t xml:space="preserve"> </w:t>
      </w:r>
      <w:r>
        <w:rPr>
          <w:i/>
          <w:iCs/>
        </w:rPr>
        <w:t xml:space="preserve">single source of truth</w:t>
      </w:r>
      <w:r>
        <w:t xml:space="preserve"> </w:t>
      </w:r>
      <w:r>
        <w:t xml:space="preserve">(satu sumber data yang disepakati seluruh organisasi) menjadi prasyarat. SSOT tidak lahir dari dashboard, melainkan dari fondasi data yang konsisten, biasanya sebuah</w:t>
      </w:r>
      <w:r>
        <w:t xml:space="preserve"> </w:t>
      </w:r>
      <w:hyperlink r:id="rId20">
        <w:r>
          <w:rPr>
            <w:rStyle w:val="Hyperlink"/>
          </w:rPr>
          <w:t xml:space="preserve">Data Warehouse Solutions</w:t>
        </w:r>
      </w:hyperlink>
      <w:r>
        <w:t xml:space="preserve"> </w:t>
      </w:r>
      <w:r>
        <w:t xml:space="preserve">yang menyatukan angka sebelum divisualisasikan.</w:t>
      </w:r>
    </w:p>
    <w:p>
      <w:pPr>
        <w:pStyle w:val="BodyText"/>
      </w:pPr>
      <w:r>
        <w:t xml:space="preserve">Akar kedua adalah definisi metrik yang tidak seragam.</w:t>
      </w:r>
      <w:r>
        <w:t xml:space="preserve"> </w:t>
      </w:r>
      <w:r>
        <w:t xml:space="preserve">“Pelanggan aktif”</w:t>
      </w:r>
      <w:r>
        <w:t xml:space="preserve"> </w:t>
      </w:r>
      <w:r>
        <w:t xml:space="preserve">bisa berarti transaksi 30 hari terakhir bagi</w:t>
      </w:r>
      <w:r>
        <w:t xml:space="preserve"> </w:t>
      </w:r>
      <w:r>
        <w:rPr>
          <w:i/>
          <w:iCs/>
        </w:rPr>
        <w:t xml:space="preserve">marketing</w:t>
      </w:r>
      <w:r>
        <w:t xml:space="preserve"> </w:t>
      </w:r>
      <w:r>
        <w:t xml:space="preserve">dan 90 hari bagi keuangan. Selama definisinya belum disepakati, dashboard hanya memindahkan kebingungan ke layar yang lebih rapi.</w:t>
      </w:r>
    </w:p>
    <w:p>
      <w:pPr>
        <w:pStyle w:val="BodyText"/>
      </w:pPr>
      <w:r>
        <w:t xml:space="preserve">Akar ketiga adalah literasi tadi. Gartner, dalam survei CDAO-nya, menempatkan</w:t>
      </w:r>
      <w:r>
        <w:t xml:space="preserve"> </w:t>
      </w:r>
      <w:r>
        <w:rPr>
          <w:i/>
          <w:iCs/>
        </w:rPr>
        <w:t xml:space="preserve">poor data literacy</w:t>
      </w:r>
      <w:r>
        <w:t xml:space="preserve"> </w:t>
      </w:r>
      <w:r>
        <w:t xml:space="preserve">sebagai penghambat teratas keberhasilan data dan analitik, dan hanya</w:t>
      </w:r>
      <w:r>
        <w:t xml:space="preserve"> </w:t>
      </w:r>
      <w:r>
        <w:rPr>
          <w:b/>
          <w:bCs/>
        </w:rPr>
        <w:t xml:space="preserve">44%</w:t>
      </w:r>
      <w:r>
        <w:t xml:space="preserve"> </w:t>
      </w:r>
      <w:r>
        <w:t xml:space="preserve">pemimpin data dan analitik menilai timnya efektif memberi nilai bagi organisasi. Ketika orang tidak percaya diri membaca angka, mereka kembali ke zona nyaman: intuisi.</w:t>
      </w:r>
    </w:p>
    <w:bookmarkEnd w:id="21"/>
    <w:bookmarkStart w:id="22" w:name="Xe33394cae8015d62dbf300fffee54f3bc85d669"/>
    <w:p>
      <w:pPr>
        <w:pStyle w:val="Heading2"/>
      </w:pPr>
      <w:r>
        <w:t xml:space="preserve">Empat tahap kematangan budaya data, dan cara naik satu level</w:t>
      </w:r>
    </w:p>
    <w:p>
      <w:pPr>
        <w:pStyle w:val="FirstParagraph"/>
      </w:pPr>
      <w:r>
        <w:t xml:space="preserve">Budaya data tidak dibangun sekaligus; ia bergerak berjenjang dari organisasi yang menghindari data hingga yang menjadikannya rujukan default. Mengenali posisi Anda saat ini lebih berguna daripada mengejar level tertinggi langsung. Berikut kerangka empat tahap yang kami pakai sebagai model praktik, bukan standar resmi bermerek.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Tahap</w:t>
            </w:r>
          </w:p>
        </w:tc>
        <w:tc>
          <w:tcPr/>
          <w:p>
            <w:pPr>
              <w:pStyle w:val="Compact"/>
            </w:pPr>
            <w:r>
              <w:t xml:space="preserve">Tanda khas organisasi</w:t>
            </w:r>
          </w:p>
        </w:tc>
        <w:tc>
          <w:tcPr/>
          <w:p>
            <w:pPr>
              <w:pStyle w:val="Compact"/>
            </w:pPr>
            <w:r>
              <w:t xml:space="preserve">Cara naik satu level</w:t>
            </w:r>
          </w:p>
        </w:tc>
        <w:tc>
          <w:tcPr/>
          <w:p>
            <w:pPr>
              <w:pStyle w:val="Compact"/>
            </w:pPr>
            <w:r>
              <w:t xml:space="preserve">Peran kunci</w:t>
            </w:r>
          </w:p>
        </w:tc>
      </w:tr>
      <w:tr>
        <w:tc>
          <w:tcPr/>
          <w:p>
            <w:pPr>
              <w:pStyle w:val="Compact"/>
            </w:pPr>
            <w:r>
              <w:rPr>
                <w:b/>
                <w:bCs/>
              </w:rPr>
              <w:t xml:space="preserve">1. Data-averse</w:t>
            </w:r>
          </w:p>
        </w:tc>
        <w:tc>
          <w:tcPr/>
          <w:p>
            <w:pPr>
              <w:pStyle w:val="Compact"/>
            </w:pPr>
            <w:r>
              <w:t xml:space="preserve">Keputusan lewat intuisi atau senioritas; angka saling bertentangan</w:t>
            </w:r>
          </w:p>
        </w:tc>
        <w:tc>
          <w:tcPr/>
          <w:p>
            <w:pPr>
              <w:pStyle w:val="Compact"/>
            </w:pPr>
            <w:r>
              <w:t xml:space="preserve">Bereskan kualitas data dan tetapkan</w:t>
            </w:r>
            <w:r>
              <w:t xml:space="preserve"> </w:t>
            </w:r>
            <w:r>
              <w:rPr>
                <w:i/>
                <w:iCs/>
              </w:rPr>
              <w:t xml:space="preserve">single source of truth</w:t>
            </w:r>
            <w:r>
              <w:t xml:space="preserve">; menang cepat di satu kasus bisnis</w:t>
            </w:r>
          </w:p>
        </w:tc>
        <w:tc>
          <w:tcPr/>
          <w:p>
            <w:pPr>
              <w:pStyle w:val="Compact"/>
            </w:pPr>
            <w:r>
              <w:t xml:space="preserve">Sponsor eksekutif</w:t>
            </w:r>
          </w:p>
        </w:tc>
      </w:tr>
      <w:tr>
        <w:tc>
          <w:tcPr/>
          <w:p>
            <w:pPr>
              <w:pStyle w:val="Compact"/>
            </w:pPr>
            <w:r>
              <w:rPr>
                <w:b/>
                <w:bCs/>
              </w:rPr>
              <w:t xml:space="preserve">2. Data-aware</w:t>
            </w:r>
          </w:p>
        </w:tc>
        <w:tc>
          <w:tcPr/>
          <w:p>
            <w:pPr>
              <w:pStyle w:val="Compact"/>
            </w:pPr>
            <w:r>
              <w:t xml:space="preserve">Ada dashboard tetapi jarang dibuka; laporan masih manual atau lewat e-mail</w:t>
            </w:r>
          </w:p>
        </w:tc>
        <w:tc>
          <w:tcPr/>
          <w:p>
            <w:pPr>
              <w:pStyle w:val="Compact"/>
            </w:pPr>
            <w:r>
              <w:t xml:space="preserve">Sederhanakan metrik inti; latih pembacaan data dasar; buat akses</w:t>
            </w:r>
            <w:r>
              <w:t xml:space="preserve"> </w:t>
            </w:r>
            <w:r>
              <w:rPr>
                <w:i/>
                <w:iCs/>
              </w:rPr>
              <w:t xml:space="preserve">self-service</w:t>
            </w:r>
          </w:p>
        </w:tc>
        <w:tc>
          <w:tcPr/>
          <w:p>
            <w:pPr>
              <w:pStyle w:val="Compact"/>
            </w:pPr>
            <w:r>
              <w:rPr>
                <w:i/>
                <w:iCs/>
              </w:rPr>
              <w:t xml:space="preserve">Data champion</w:t>
            </w:r>
            <w:r>
              <w:t xml:space="preserve"> </w:t>
            </w:r>
            <w:r>
              <w:t xml:space="preserve">per tim</w:t>
            </w:r>
          </w:p>
        </w:tc>
      </w:tr>
      <w:tr>
        <w:tc>
          <w:tcPr/>
          <w:p>
            <w:pPr>
              <w:pStyle w:val="Compact"/>
            </w:pPr>
            <w:r>
              <w:rPr>
                <w:b/>
                <w:bCs/>
              </w:rPr>
              <w:t xml:space="preserve">3. Data-literate</w:t>
            </w:r>
          </w:p>
        </w:tc>
        <w:tc>
          <w:tcPr/>
          <w:p>
            <w:pPr>
              <w:pStyle w:val="Compact"/>
            </w:pPr>
            <w:r>
              <w:t xml:space="preserve">Tim bisa membaca dan mempertanyakan data;</w:t>
            </w:r>
            <w:r>
              <w:t xml:space="preserve"> </w:t>
            </w:r>
            <w:r>
              <w:rPr>
                <w:i/>
                <w:iCs/>
              </w:rPr>
              <w:t xml:space="preserve">self-service</w:t>
            </w:r>
            <w:r>
              <w:t xml:space="preserve"> </w:t>
            </w:r>
            <w:r>
              <w:t xml:space="preserve">terkendali dipakai rutin</w:t>
            </w:r>
          </w:p>
        </w:tc>
        <w:tc>
          <w:tcPr/>
          <w:p>
            <w:pPr>
              <w:pStyle w:val="Compact"/>
            </w:pPr>
            <w:r>
              <w:t xml:space="preserve">Bangun</w:t>
            </w:r>
            <w:r>
              <w:t xml:space="preserve"> </w:t>
            </w:r>
            <w:r>
              <w:rPr>
                <w:i/>
                <w:iCs/>
              </w:rPr>
              <w:t xml:space="preserve">data storytelling</w:t>
            </w:r>
            <w:r>
              <w:t xml:space="preserve">; rapikan tata kelola dan katalog data; ukur adopsi, bukan cuma akses</w:t>
            </w:r>
          </w:p>
        </w:tc>
        <w:tc>
          <w:tcPr/>
          <w:p>
            <w:pPr>
              <w:pStyle w:val="Compact"/>
            </w:pPr>
            <w:r>
              <w:t xml:space="preserve">Chief Data Officer (CDO)</w:t>
            </w:r>
          </w:p>
        </w:tc>
      </w:tr>
      <w:tr>
        <w:tc>
          <w:tcPr/>
          <w:p>
            <w:pPr>
              <w:pStyle w:val="Compact"/>
            </w:pPr>
            <w:r>
              <w:rPr>
                <w:b/>
                <w:bCs/>
              </w:rPr>
              <w:t xml:space="preserve">4. Data-driven</w:t>
            </w:r>
          </w:p>
        </w:tc>
        <w:tc>
          <w:tcPr/>
          <w:p>
            <w:pPr>
              <w:pStyle w:val="Compact"/>
            </w:pPr>
            <w:r>
              <w:t xml:space="preserve">Data jadi rujukan default; hipotesis diuji dengan angka</w:t>
            </w:r>
          </w:p>
        </w:tc>
        <w:tc>
          <w:tcPr/>
          <w:p>
            <w:pPr>
              <w:pStyle w:val="Compact"/>
            </w:pPr>
            <w:r>
              <w:t xml:space="preserve">Pertahankan lewat insentif, komunitas data, dan tinjauan berkala</w:t>
            </w:r>
          </w:p>
        </w:tc>
        <w:tc>
          <w:tcPr/>
          <w:p>
            <w:pPr>
              <w:pStyle w:val="Compact"/>
            </w:pPr>
            <w:r>
              <w:t xml:space="preserve">CDO dan kepemimpinan lini</w:t>
            </w:r>
          </w:p>
        </w:tc>
      </w:tr>
    </w:tbl>
    <w:p>
      <w:pPr>
        <w:pStyle w:val="BodyText"/>
      </w:pPr>
      <w:r>
        <w:t xml:space="preserve">Perhatikan bahwa peran kunci berubah di tiap tahap. Di awal, yang dibutuhkan adalah sponsor eksekutif selevel C yang berani menetapkan bahwa keputusan besar harus disertai data. Di tengah,</w:t>
      </w:r>
      <w:r>
        <w:t xml:space="preserve"> </w:t>
      </w:r>
      <w:r>
        <w:rPr>
          <w:i/>
          <w:iCs/>
        </w:rPr>
        <w:t xml:space="preserve">data champion</w:t>
      </w:r>
      <w:r>
        <w:t xml:space="preserve">, praktisi yang dihormati di tiap tim, jadi jembatan yang mendampingi rekannya. Di tahap matang, Chief Data Officer (CDO) atau CDAO memegang strategi data menyeluruh. Gartner memprediksi lebih dari</w:t>
      </w:r>
      <w:r>
        <w:t xml:space="preserve"> </w:t>
      </w:r>
      <w:r>
        <w:rPr>
          <w:b/>
          <w:bCs/>
        </w:rPr>
        <w:t xml:space="preserve">50% CDAO</w:t>
      </w:r>
      <w:r>
        <w:t xml:space="preserve"> </w:t>
      </w:r>
      <w:r>
        <w:t xml:space="preserve">akan mengamankan pendanaan untuk program literasi data dan literasi AI pada 2027, dipicu banyak perusahaan yang gagal meraih nilai dari investasi AI generatif mereka (Gartner, Januari 2024).</w:t>
      </w:r>
    </w:p>
    <w:p>
      <w:pPr>
        <w:pStyle w:val="BodyText"/>
      </w:pPr>
      <w:r>
        <w:t xml:space="preserve">Naik level bukan soal membeli lebih banyak tool. Kuncinya konsistensi: menang kecil di satu unit, membereskan kualitas data lebih dulu, lalu membuat angka mudah diakses lewat</w:t>
      </w:r>
      <w:r>
        <w:t xml:space="preserve"> </w:t>
      </w:r>
      <w:r>
        <w:rPr>
          <w:i/>
          <w:iCs/>
        </w:rPr>
        <w:t xml:space="preserve">self-service</w:t>
      </w:r>
      <w:r>
        <w:t xml:space="preserve"> </w:t>
      </w:r>
      <w:r>
        <w:t xml:space="preserve">yang tetap terkendali. Di sinilah pilihan platform berperan. Platform BI yang</w:t>
      </w:r>
      <w:r>
        <w:t xml:space="preserve"> </w:t>
      </w:r>
      <w:r>
        <w:rPr>
          <w:i/>
          <w:iCs/>
        </w:rPr>
        <w:t xml:space="preserve">governed</w:t>
      </w:r>
      <w:r>
        <w:t xml:space="preserve"> </w:t>
      </w:r>
      <w:r>
        <w:t xml:space="preserve">seperti SAP Analytics Cloud (SAC) memungkinkan</w:t>
      </w:r>
      <w:r>
        <w:t xml:space="preserve"> </w:t>
      </w:r>
      <w:r>
        <w:rPr>
          <w:i/>
          <w:iCs/>
        </w:rPr>
        <w:t xml:space="preserve">self-service</w:t>
      </w:r>
      <w:r>
        <w:t xml:space="preserve"> </w:t>
      </w:r>
      <w:r>
        <w:t xml:space="preserve">tanpa berujung pada</w:t>
      </w:r>
      <w:r>
        <w:t xml:space="preserve"> </w:t>
      </w:r>
      <w:r>
        <w:t xml:space="preserve">“200 dashboard”</w:t>
      </w:r>
      <w:r>
        <w:t xml:space="preserve"> </w:t>
      </w:r>
      <w:r>
        <w:t xml:space="preserve">yang saling bertentangan, karena terhubung natif ke lapisan data ber-</w:t>
      </w:r>
      <w:r>
        <w:rPr>
          <w:i/>
          <w:iCs/>
        </w:rPr>
        <w:t xml:space="preserve">semantics</w:t>
      </w:r>
      <w:r>
        <w:t xml:space="preserve"> </w:t>
      </w:r>
      <w:r>
        <w:t xml:space="preserve">seperti SAP Datasphere. Dalam pengalaman implementasi kami di sejumlah perusahaan enterprise Indonesia, hambatan terbesar hampir selalu adopsi dan kepercayaan pengguna, bukan konfigurasi teknis platformnya.</w:t>
      </w:r>
    </w:p>
    <w:bookmarkEnd w:id="22"/>
    <w:bookmarkStart w:id="24" w:name="X46ac2c24ecd6a7e731f3719e5f15dc3ee241e4a"/>
    <w:p>
      <w:pPr>
        <w:pStyle w:val="Heading2"/>
      </w:pPr>
      <w:r>
        <w:t xml:space="preserve">Yang jarang diakui vendor: budaya data tidak bisa dibeli</w:t>
      </w:r>
    </w:p>
    <w:p>
      <w:pPr>
        <w:pStyle w:val="FirstParagraph"/>
      </w:pPr>
      <w:r>
        <w:t xml:space="preserve">Ini bagian yang paling jarang ditulis, padahal paling menentukan. Budaya data tidak datang dalam kotak lisensi. Pada kasus tertentu, membeli platform BI lebih dulu justru memperburuk keadaan.</w:t>
      </w:r>
    </w:p>
    <w:p>
      <w:pPr>
        <w:pStyle w:val="BodyText"/>
      </w:pPr>
      <w:r>
        <w:t xml:space="preserve">Logikanya sederhana. Jika data Anda masih kotor, kode produk ganda, definisi metrik campur aduk, angka antar-sistem tidak cocok, lalu semua itu disajikan di dashboard baru yang mengkilap, hasilnya bukan kepercayaan yang naik, melainkan yang runtuh. Pengguna melihat angka salah dengan tampilan meyakinkan, menemukan kesalahannya sekali, dan berhenti mempercayai seluruh sistem. Ingat temuan BARC tadi: pendorong adopsi utama adalah perubahan budaya (51%), bukan tool. Membalik urutannya berisiko.</w:t>
      </w:r>
    </w:p>
    <w:p>
      <w:pPr>
        <w:pStyle w:val="BodyText"/>
      </w:pPr>
      <w:r>
        <w:t xml:space="preserve">Maka ada prasyarat yang jujur harus diakui sebelum Anda serius membangun budaya data:</w:t>
      </w:r>
    </w:p>
    <w:p>
      <w:pPr>
        <w:pStyle w:val="Compact"/>
        <w:numPr>
          <w:ilvl w:val="0"/>
          <w:numId w:val="1001"/>
        </w:numPr>
      </w:pPr>
      <w:r>
        <w:rPr>
          <w:b/>
          <w:bCs/>
        </w:rPr>
        <w:t xml:space="preserve">Kualitas dan konsistensi data lebih dulu.</w:t>
      </w:r>
      <w:r>
        <w:t xml:space="preserve"> </w:t>
      </w:r>
      <w:r>
        <w:rPr>
          <w:i/>
          <w:iCs/>
        </w:rPr>
        <w:t xml:space="preserve">Single source of truth</w:t>
      </w:r>
      <w:r>
        <w:t xml:space="preserve"> </w:t>
      </w:r>
      <w:r>
        <w:t xml:space="preserve">butuh fondasi yang bersih. Data operasional yang rapi, misalnya hasil</w:t>
      </w:r>
      <w:r>
        <w:t xml:space="preserve"> </w:t>
      </w:r>
      <w:hyperlink r:id="rId23">
        <w:r>
          <w:rPr>
            <w:rStyle w:val="Hyperlink"/>
          </w:rPr>
          <w:t xml:space="preserve">migrasi ERP ke cloud</w:t>
        </w:r>
      </w:hyperlink>
      <w:r>
        <w:t xml:space="preserve"> </w:t>
      </w:r>
      <w:r>
        <w:t xml:space="preserve">yang menertibkan</w:t>
      </w:r>
      <w:r>
        <w:t xml:space="preserve"> </w:t>
      </w:r>
      <w:r>
        <w:rPr>
          <w:i/>
          <w:iCs/>
        </w:rPr>
        <w:t xml:space="preserve">master data</w:t>
      </w:r>
      <w:r>
        <w:t xml:space="preserve">, menjadi bahan bakar yang layak dipercaya.</w:t>
      </w:r>
    </w:p>
    <w:p>
      <w:pPr>
        <w:pStyle w:val="Compact"/>
        <w:numPr>
          <w:ilvl w:val="0"/>
          <w:numId w:val="1001"/>
        </w:numPr>
      </w:pPr>
      <w:r>
        <w:rPr>
          <w:b/>
          <w:bCs/>
        </w:rPr>
        <w:t xml:space="preserve">Sponsor eksekutif yang nyata.</w:t>
      </w:r>
      <w:r>
        <w:t xml:space="preserve"> </w:t>
      </w:r>
      <w:r>
        <w:t xml:space="preserve">Tanpa otoritas selevel C, program literasi cenderung berhenti sebagai inisiatif IT yang terisolasi dan kehabisan napas.</w:t>
      </w:r>
    </w:p>
    <w:p>
      <w:pPr>
        <w:pStyle w:val="Compact"/>
        <w:numPr>
          <w:ilvl w:val="0"/>
          <w:numId w:val="1001"/>
        </w:numPr>
      </w:pPr>
      <w:r>
        <w:rPr>
          <w:b/>
          <w:bCs/>
        </w:rPr>
        <w:t xml:space="preserve">Satu masalah bisnis konkret sebagai titik mulai.</w:t>
      </w:r>
      <w:r>
        <w:t xml:space="preserve"> </w:t>
      </w:r>
      <w:r>
        <w:t xml:space="preserve">Bukan pelatihan massal, melainkan satu keputusan penting yang bisa dibuat lebih baik dengan data, sebagai bukti nilai yang dirasakan orang.</w:t>
      </w:r>
    </w:p>
    <w:p>
      <w:pPr>
        <w:pStyle w:val="FirstParagraph"/>
      </w:pPr>
      <w:r>
        <w:t xml:space="preserve">Jadi kapan Anda belum siap? Ketika data master masih berantakan, ketika belum ada sponsor eksekutif, dan ketika tidak ada satu pun kasus bisnis yang cukup penting untuk memotivasi perubahan kebiasaan. Dalam kondisi itu, membeli lisensi BI hanya menambah biaya tanpa mengubah cara keputusan diambil. Bereskan fondasinya dulu; tool bisa menyusul.</w:t>
      </w:r>
    </w:p>
    <w:bookmarkEnd w:id="24"/>
    <w:bookmarkStart w:id="32" w:name="faq-pertanyaan-yang-sering-diajukan"/>
    <w:p>
      <w:pPr>
        <w:pStyle w:val="Heading2"/>
      </w:pPr>
      <w:r>
        <w:t xml:space="preserve">FAQ (Pertanyaan yang Sering Diajukan)</w:t>
      </w:r>
    </w:p>
    <w:bookmarkStart w:id="25" w:name="apa-itu-data-literacy-literasi-data"/>
    <w:p>
      <w:pPr>
        <w:pStyle w:val="Heading3"/>
      </w:pPr>
      <w:r>
        <w:t xml:space="preserve">Apa itu data literacy (literasi data)?</w:t>
      </w:r>
    </w:p>
    <w:p>
      <w:pPr>
        <w:pStyle w:val="FirstParagraph"/>
      </w:pPr>
      <w:r>
        <w:t xml:space="preserve">Literasi data adalah kemampuan membaca, memahami, menganalisis, dan mengomunikasikan data untuk mengambil keputusan. Ini keterampilan individu, berbeda dari budaya data yang bersifat organisasi. Menurut DataCamp (2026), 88% pemimpin menilai literasi data penting untuk pekerjaan sehari-hari, tetapi 60% mengakui organisasinya masih memiliki kesenjangan keterampilan data. Tanpa literasi, dashboard secanggih apa pun akan salah dibaca atau diabaikan.</w:t>
      </w:r>
    </w:p>
    <w:bookmarkEnd w:id="25"/>
    <w:bookmarkStart w:id="26" w:name="Xb67f881b5904897789ce150857dd70677ecc989"/>
    <w:p>
      <w:pPr>
        <w:pStyle w:val="Heading3"/>
      </w:pPr>
      <w:r>
        <w:t xml:space="preserve">Apa bedanya data literacy dan data-driven culture?</w:t>
      </w:r>
    </w:p>
    <w:p>
      <w:pPr>
        <w:pStyle w:val="FirstParagraph"/>
      </w:pPr>
      <w:r>
        <w:t xml:space="preserve">Data literacy adalah kemampuan individu memahami dan memakai data; data-driven culture adalah sistem keyakinan dan kebiasaan organisasi yang menjadikan data rujukan default dalam keputusan. Keduanya saling bergantung: literasi tanpa budaya membuat orang bisa membaca data tapi tetap memutuskan lewat</w:t>
      </w:r>
      <w:r>
        <w:t xml:space="preserve"> </w:t>
      </w:r>
      <w:r>
        <w:t xml:space="preserve">“feeling”</w:t>
      </w:r>
      <w:r>
        <w:t xml:space="preserve">; budaya tanpa literasi menghasilkan antusiasme yang salah arah. Studi di Indonesia (2025) menemukan literasi data memediasi budaya data menjadi kapabilitas analitik nyata.</w:t>
      </w:r>
    </w:p>
    <w:bookmarkEnd w:id="26"/>
    <w:bookmarkStart w:id="27" w:name="X61cb53ee069c4de26275a98f08f5e52db17fb22"/>
    <w:p>
      <w:pPr>
        <w:pStyle w:val="Heading3"/>
      </w:pPr>
      <w:r>
        <w:t xml:space="preserve">Bagaimana cara memulai program literasi data di perusahaan?</w:t>
      </w:r>
    </w:p>
    <w:p>
      <w:pPr>
        <w:pStyle w:val="FirstParagraph"/>
      </w:pPr>
      <w:r>
        <w:t xml:space="preserve">Mulai dari sponsor eksekutif dan satu masalah bisnis nyata, bukan pelatihan massal. Petakan kesenjangan keterampilan per peran, tetapkan</w:t>
      </w:r>
      <w:r>
        <w:t xml:space="preserve"> </w:t>
      </w:r>
      <w:r>
        <w:rPr>
          <w:i/>
          <w:iCs/>
        </w:rPr>
        <w:t xml:space="preserve">single source of truth</w:t>
      </w:r>
      <w:r>
        <w:t xml:space="preserve">, lalu tunjuk</w:t>
      </w:r>
      <w:r>
        <w:t xml:space="preserve"> </w:t>
      </w:r>
      <w:r>
        <w:rPr>
          <w:i/>
          <w:iCs/>
        </w:rPr>
        <w:t xml:space="preserve">data champion</w:t>
      </w:r>
      <w:r>
        <w:t xml:space="preserve"> </w:t>
      </w:r>
      <w:r>
        <w:t xml:space="preserve">di tiap tim untuk mendampingi rekan. Data DataCamp (2026) menunjukkan hanya 42% organisasi melatih literasi data dalam skala besar, jadi konsistensi lebih penting daripada kecepatan. Ukur adopsi, bukan sekadar jumlah peserta pelatihan.</w:t>
      </w:r>
    </w:p>
    <w:bookmarkEnd w:id="27"/>
    <w:bookmarkStart w:id="28" w:name="X6b5cd132032c5cd493874386c018e8f303f3d37"/>
    <w:p>
      <w:pPr>
        <w:pStyle w:val="Heading3"/>
      </w:pPr>
      <w:r>
        <w:t xml:space="preserve">Apa peran Chief Data Officer (CDO) dalam membangun budaya data?</w:t>
      </w:r>
    </w:p>
    <w:p>
      <w:pPr>
        <w:pStyle w:val="FirstParagraph"/>
      </w:pPr>
      <w:r>
        <w:t xml:space="preserve">CDO atau CDAO memimpin strategi data organisasi: menetapkan tata kelola, menjaga kualitas dan</w:t>
      </w:r>
      <w:r>
        <w:t xml:space="preserve"> </w:t>
      </w:r>
      <w:r>
        <w:rPr>
          <w:i/>
          <w:iCs/>
        </w:rPr>
        <w:t xml:space="preserve">single source of truth</w:t>
      </w:r>
      <w:r>
        <w:t xml:space="preserve">, serta mengamankan pendanaan untuk program literasi. Gartner memprediksi lebih dari 50% CDAO akan mengamankan dana untuk program literasi data dan AI pada 2027. Peran ini penting karena budaya data butuh otoritas eksekutif; tanpa sponsor selevel C, program literasi cenderung berhenti sebagai inisiatif IT yang terisolasi.</w:t>
      </w:r>
    </w:p>
    <w:bookmarkEnd w:id="28"/>
    <w:bookmarkStart w:id="29" w:name="berapa-lama-membangun-budaya-data"/>
    <w:p>
      <w:pPr>
        <w:pStyle w:val="Heading3"/>
      </w:pPr>
      <w:r>
        <w:t xml:space="preserve">Berapa lama membangun budaya data?</w:t>
      </w:r>
    </w:p>
    <w:p>
      <w:pPr>
        <w:pStyle w:val="FirstParagraph"/>
      </w:pPr>
      <w:r>
        <w:t xml:space="preserve">Tidak ada jalan pintas, umumnya butuh beberapa tahun, bukan bulan, karena yang berubah adalah perilaku dan kepercayaan, bukan sekadar perangkat lunak. Buktinya, survei BARC/Eckerson menunjukkan rata-rata pemakaian BI hanya bergerak tipis (~25%) dalam tujuh tahun. Percepat dengan menang cepat di satu unit, membereskan kualitas data lebih dulu, dan membuat angka mudah diakses lewat</w:t>
      </w:r>
      <w:r>
        <w:t xml:space="preserve"> </w:t>
      </w:r>
      <w:r>
        <w:rPr>
          <w:i/>
          <w:iCs/>
        </w:rPr>
        <w:t xml:space="preserve">self-service</w:t>
      </w:r>
      <w:r>
        <w:t xml:space="preserve"> </w:t>
      </w:r>
      <w:r>
        <w:t xml:space="preserve">yang tetap terkendali, bukan dengan memaksa adopsi lewat mandat.</w:t>
      </w:r>
    </w:p>
    <w:bookmarkEnd w:id="29"/>
    <w:bookmarkStart w:id="30" w:name="apakah-ukm-juga-membutuhkan-budaya-data"/>
    <w:p>
      <w:pPr>
        <w:pStyle w:val="Heading3"/>
      </w:pPr>
      <w:r>
        <w:t xml:space="preserve">Apakah UKM juga membutuhkan budaya data?</w:t>
      </w:r>
    </w:p>
    <w:p>
      <w:pPr>
        <w:pStyle w:val="FirstParagraph"/>
      </w:pPr>
      <w:r>
        <w:t xml:space="preserve">Ya, bahkan bisa lebih mudah karena struktur lebih ramping dan keputusan lebih dekat ke data. UKM tidak perlu membeli platform mahal lebih dulu; yang dibutuhkan adalah kebiasaan merujuk angka yang konsisten dan satu sumber kebenaran. Membeli lisensi BI sebelum data bersih justru sering memperburuk kepercayaan pada angka. Untuk UKM, budaya data dimulai dari disiplin pencatatan dan definisi metrik yang seragam, bukan dari jumlah dashboard.</w:t>
      </w:r>
    </w:p>
    <w:bookmarkEnd w:id="30"/>
    <w:bookmarkStart w:id="31" w:name="X552d824db6d33e9259435cf1b02c3af14f82995"/>
    <w:p>
      <w:pPr>
        <w:pStyle w:val="Heading3"/>
      </w:pPr>
      <w:r>
        <w:t xml:space="preserve">Apa itu single source of truth dalam Business Intelligence?</w:t>
      </w:r>
    </w:p>
    <w:p>
      <w:pPr>
        <w:pStyle w:val="FirstParagraph"/>
      </w:pPr>
      <w:r>
        <w:rPr>
          <w:i/>
          <w:iCs/>
        </w:rPr>
        <w:t xml:space="preserve">Single source of truth</w:t>
      </w:r>
      <w:r>
        <w:t xml:space="preserve"> </w:t>
      </w:r>
      <w:r>
        <w:t xml:space="preserve">(SSOT) adalah satu sumber data yang disepakati dan tepercaya sebagai rujukan tunggal seluruh organisasi, sehingga tidak ada lagi</w:t>
      </w:r>
      <w:r>
        <w:t xml:space="preserve"> </w:t>
      </w:r>
      <w:r>
        <w:t xml:space="preserve">“angka penjualan versi keuangan vs versi sales”</w:t>
      </w:r>
      <w:r>
        <w:t xml:space="preserve">. Dalam BI, SSOT biasanya berdiri di atas data warehouse (misalnya SAP Datasphere atau BW/4HANA) dan disajikan lewat platform</w:t>
      </w:r>
      <w:r>
        <w:t xml:space="preserve"> </w:t>
      </w:r>
      <w:r>
        <w:rPr>
          <w:i/>
          <w:iCs/>
        </w:rPr>
        <w:t xml:space="preserve">governed</w:t>
      </w:r>
      <w:r>
        <w:t xml:space="preserve"> </w:t>
      </w:r>
      <w:r>
        <w:t xml:space="preserve">seperti SAP Analytics Cloud. Tanpa SSOT, budaya data mustahil tumbuh karena orang tidak akan mempercayai angka yang saling bertentangan.</w:t>
      </w:r>
    </w:p>
    <w:bookmarkEnd w:id="31"/>
    <w:bookmarkEnd w:id="32"/>
    <w:bookmarkStart w:id="33" w:name="kesimpulan"/>
    <w:p>
      <w:pPr>
        <w:pStyle w:val="Heading2"/>
      </w:pPr>
      <w:r>
        <w:t xml:space="preserve">Kesimpulan</w:t>
      </w:r>
    </w:p>
    <w:p>
      <w:pPr>
        <w:pStyle w:val="FirstParagraph"/>
      </w:pPr>
      <w:r>
        <w:t xml:space="preserve">Kembali ke rapat direksi yang membuka artikel ini: yang membuat keputusan tetap berbasis</w:t>
      </w:r>
      <w:r>
        <w:t xml:space="preserve"> </w:t>
      </w:r>
      <w:r>
        <w:t xml:space="preserve">“feeling”</w:t>
      </w:r>
      <w:r>
        <w:t xml:space="preserve"> </w:t>
      </w:r>
      <w:r>
        <w:t xml:space="preserve">bukan kekurangan dashboard, melainkan kekurangan kepercayaan dan literasi terhadap angka. Business Intelligence yang berdampak dibangun dari fondasi data yang bersih, definisi metrik yang seragam, sponsor eksekutif, dan orang-orang yang percaya diri membaca data. Tool datang belakangan, dan hanya bermakna kalau budayanya sudah tumbuh. Melalui layanan Data and AI Consulting, Soltius mendampingi perusahaan bukan hanya sampai</w:t>
      </w:r>
      <w:r>
        <w:t xml:space="preserve"> </w:t>
      </w:r>
      <w:r>
        <w:rPr>
          <w:i/>
          <w:iCs/>
        </w:rPr>
        <w:t xml:space="preserve">go-live</w:t>
      </w:r>
      <w:r>
        <w:t xml:space="preserve"> </w:t>
      </w:r>
      <w:r>
        <w:t xml:space="preserve">teknis SAP Analytics Cloud, tetapi juga</w:t>
      </w:r>
      <w:r>
        <w:t xml:space="preserve"> </w:t>
      </w:r>
      <w:r>
        <w:rPr>
          <w:i/>
          <w:iCs/>
        </w:rPr>
        <w:t xml:space="preserve">enablement</w:t>
      </w:r>
      <w:r>
        <w:t xml:space="preserve"> </w:t>
      </w:r>
      <w:r>
        <w:t xml:space="preserve">pengguna, agar data benar-benar dipercaya dan dipakai dalam keputusan.</w:t>
      </w:r>
    </w:p>
    <w:p>
      <w:pPr>
        <w:pStyle w:val="BodyText"/>
      </w:pPr>
      <w:r>
        <w:t xml:space="preserve">Untuk mendiskusikan kesiapan budaya data dan implementasi Business Intelligence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data-warehouse-solution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2026-07-08T03:28:44Z</dcterms:created>
  <dcterms:modified xsi:type="dcterms:W3CDTF">2026-07-08T03:28:44Z</dcterms:modified>
</cp:coreProperties>
</file>

<file path=docProps/custom.xml><?xml version="1.0" encoding="utf-8"?>
<Properties xmlns="http://schemas.openxmlformats.org/officeDocument/2006/custom-properties" xmlns:vt="http://schemas.openxmlformats.org/officeDocument/2006/docPropsVTypes"/>
</file>