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Clean Core dan Fit-to-Standard: Mengapa Hambatannya Budaya, Bukan Teknologi"</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Fit-to-Standard &amp; Resistensi Budaya"</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sering gagal bukan karena teknologi, tapi resistensi fit-to-standard. Kenali 5 pola penolakan pemilik proses &amp; cara mengelolanya."</w:t>
      </w:r>
      <w:r>
        <w:br/>
      </w:r>
      <w:r>
        <w:rPr>
          <w:rStyle w:val="FunctionTok"/>
        </w:rPr>
        <w:t xml:space="preserve">slug</w:t>
      </w:r>
      <w:r>
        <w:rPr>
          <w:rStyle w:val="KeywordTok"/>
        </w:rPr>
        <w:t xml:space="preserve">:</w:t>
      </w:r>
      <w:r>
        <w:rPr>
          <w:rStyle w:val="AttributeTok"/>
        </w:rPr>
        <w:t xml:space="preserve"> </w:t>
      </w:r>
      <w:r>
        <w:rPr>
          <w:rStyle w:val="StringTok"/>
        </w:rPr>
        <w:t xml:space="preserve">"sap-clean-core-fit-to-standard-budaya"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AttributeTok"/>
        </w:rPr>
        <w:t xml:space="preserve">  </w:t>
      </w:r>
      <w:r>
        <w:rPr>
          <w:rStyle w:val="KeywordTok"/>
        </w:rPr>
        <w:t xml:space="preserve">-</w:t>
      </w:r>
      <w:r>
        <w:rPr>
          <w:rStyle w:val="AttributeTok"/>
        </w:rPr>
        <w:t xml:space="preserve"> </w:t>
      </w:r>
      <w:r>
        <w:rPr>
          <w:rStyle w:val="StringTok"/>
        </w:rPr>
        <w:t xml:space="preserve">"change management SAP"</w:t>
      </w:r>
      <w:r>
        <w:br/>
      </w:r>
      <w:r>
        <w:rPr>
          <w:rStyle w:val="AttributeTok"/>
        </w:rPr>
        <w:t xml:space="preserve">  </w:t>
      </w:r>
      <w:r>
        <w:rPr>
          <w:rStyle w:val="KeywordTok"/>
        </w:rPr>
        <w:t xml:space="preserve">-</w:t>
      </w:r>
      <w:r>
        <w:rPr>
          <w:rStyle w:val="AttributeTok"/>
        </w:rPr>
        <w:t xml:space="preserve"> </w:t>
      </w:r>
      <w:r>
        <w:rPr>
          <w:rStyle w:val="StringTok"/>
        </w:rPr>
        <w:t xml:space="preserve">"mindset why not standard"</w:t>
      </w:r>
      <w:r>
        <w:br/>
      </w:r>
      <w:r>
        <w:rPr>
          <w:rStyle w:val="AttributeTok"/>
        </w:rPr>
        <w:t xml:space="preserve">  </w:t>
      </w:r>
      <w:r>
        <w:rPr>
          <w:rStyle w:val="KeywordTok"/>
        </w:rPr>
        <w:t xml:space="preserve">-</w:t>
      </w:r>
      <w:r>
        <w:rPr>
          <w:rStyle w:val="AttributeTok"/>
        </w:rPr>
        <w:t xml:space="preserve"> </w:t>
      </w:r>
      <w:r>
        <w:rPr>
          <w:rStyle w:val="StringTok"/>
        </w:rPr>
        <w:t xml:space="preserve">"kustomisasi vs standar SAP"</w:t>
      </w:r>
      <w:r>
        <w:br/>
      </w:r>
      <w:r>
        <w:rPr>
          <w:rStyle w:val="AttributeTok"/>
        </w:rPr>
        <w:t xml:space="preserve">  </w:t>
      </w:r>
      <w:r>
        <w:rPr>
          <w:rStyle w:val="KeywordTok"/>
        </w:rPr>
        <w:t xml:space="preserve">-</w:t>
      </w:r>
      <w:r>
        <w:rPr>
          <w:rStyle w:val="AttributeTok"/>
        </w:rPr>
        <w:t xml:space="preserve"> </w:t>
      </w:r>
      <w:r>
        <w:rPr>
          <w:rStyle w:val="StringTok"/>
        </w:rPr>
        <w:t xml:space="preserve">"business process reengineering"</w:t>
      </w:r>
      <w:r>
        <w:br/>
      </w:r>
      <w:r>
        <w:rPr>
          <w:rStyle w:val="AttributeTok"/>
        </w:rPr>
        <w:t xml:space="preserve">  </w:t>
      </w:r>
      <w:r>
        <w:rPr>
          <w:rStyle w:val="KeywordTok"/>
        </w:rPr>
        <w:t xml:space="preserve">-</w:t>
      </w:r>
      <w:r>
        <w:rPr>
          <w:rStyle w:val="AttributeTok"/>
        </w:rPr>
        <w:t xml:space="preserve"> </w:t>
      </w:r>
      <w:r>
        <w:rPr>
          <w:rStyle w:val="StringTok"/>
        </w:rPr>
        <w:t xml:space="preserve">"pemilik proses bisnis"</w:t>
      </w:r>
      <w:r>
        <w:br/>
      </w:r>
      <w:r>
        <w:rPr>
          <w:rStyle w:val="AttributeTok"/>
        </w:rPr>
        <w:t xml:space="preserve">  </w:t>
      </w:r>
      <w:r>
        <w:rPr>
          <w:rStyle w:val="KeywordTok"/>
        </w:rPr>
        <w:t xml:space="preserve">-</w:t>
      </w:r>
      <w:r>
        <w:rPr>
          <w:rStyle w:val="AttributeTok"/>
        </w:rPr>
        <w:t xml:space="preserve"> </w:t>
      </w:r>
      <w:r>
        <w:rPr>
          <w:rStyle w:val="StringTok"/>
        </w:rPr>
        <w:t xml:space="preserve">"SAP Signavio process mining"</w:t>
      </w:r>
      <w:r>
        <w:br/>
      </w:r>
      <w:r>
        <w:rPr>
          <w:rStyle w:val="AttributeTok"/>
        </w:rPr>
        <w:t xml:space="preserve">  </w:t>
      </w:r>
      <w:r>
        <w:rPr>
          <w:rStyle w:val="KeywordTok"/>
        </w:rPr>
        <w:t xml:space="preserve">-</w:t>
      </w:r>
      <w:r>
        <w:rPr>
          <w:rStyle w:val="AttributeTok"/>
        </w:rPr>
        <w:t xml:space="preserve"> </w:t>
      </w:r>
      <w:r>
        <w:rPr>
          <w:rStyle w:val="StringTok"/>
        </w:rPr>
        <w:t xml:space="preserve">"extensibility level A-D"</w:t>
      </w:r>
      <w:r>
        <w:br/>
      </w:r>
      <w:r>
        <w:rPr>
          <w:rStyle w:val="AttributeTok"/>
        </w:rPr>
        <w:t xml:space="preserve">  </w:t>
      </w:r>
      <w:r>
        <w:rPr>
          <w:rStyle w:val="KeywordTok"/>
        </w:rPr>
        <w:t xml:space="preserve">-</w:t>
      </w:r>
      <w:r>
        <w:rPr>
          <w:rStyle w:val="AttributeTok"/>
        </w:rPr>
        <w:t xml:space="preserve"> </w:t>
      </w:r>
      <w:r>
        <w:rPr>
          <w:rStyle w:val="StringTok"/>
        </w:rPr>
        <w:t xml:space="preserve">"clean core governance"</w:t>
      </w:r>
      <w:r>
        <w:br/>
      </w:r>
      <w:r>
        <w:rPr>
          <w:rStyle w:val="AttributeTok"/>
        </w:rPr>
        <w:t xml:space="preserve">  </w:t>
      </w:r>
      <w:r>
        <w:rPr>
          <w:rStyle w:val="KeywordTok"/>
        </w:rPr>
        <w:t xml:space="preserve">-</w:t>
      </w:r>
      <w:r>
        <w:rPr>
          <w:rStyle w:val="AttributeTok"/>
        </w:rPr>
        <w:t xml:space="preserve"> </w:t>
      </w:r>
      <w:r>
        <w:rPr>
          <w:rStyle w:val="StringTok"/>
        </w:rPr>
        <w:t xml:space="preserve">"adopsi pengguna SAP"</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"https://learning.sap.com/courses/managing-clean-core-for-sap-cloud-erp/exploring-how-to-make-business-processes-clean-core-compliant-1"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"Fit-to-standard mindset resmi SAP; klasifikasi Standard/Enhanced/Custom; tiga alasan sah deviasi"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"https://ignitesap.com/resistance-to-standardization-in-sap-projects/"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"Pandangan praktisi: hambatan clean core bersifat organisasi/budaya; organisasi melebih-lebihkan keunikan proses"</w:t>
      </w:r>
      <w:r>
        <w:br/>
      </w:r>
      <w:r>
        <w:rPr>
          <w:rStyle w:val="FunctionTok"/>
        </w:rPr>
        <w:t xml:space="preserve">brief_id</w:t>
      </w:r>
      <w:r>
        <w:rPr>
          <w:rStyle w:val="KeywordTok"/>
        </w:rPr>
        <w:t xml:space="preserve">:</w:t>
      </w:r>
      <w:r>
        <w:rPr>
          <w:rStyle w:val="AttributeTok"/>
        </w:rPr>
        <w:t xml:space="preserve"> </w:t>
      </w:r>
      <w:r>
        <w:rPr>
          <w:rStyle w:val="StringTok"/>
        </w:rPr>
        <w:t xml:space="preserve">"sap-clean-core-03"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1750</w:t>
      </w:r>
    </w:p>
    <w:p>
      <w:r>
        <w:pict>
          <v:rect style="width:0;height:1.5pt" o:hralign="center" o:hrstd="t" o:hr="t"/>
        </w:pict>
      </w:r>
    </w:p>
    <w:bookmarkEnd w:id="16"/>
    <w:bookmarkStart w:id="33" w:name="Xf02624c43adad777fe0fad462a5822d521aa461"/>
    <w:p>
      <w:pPr>
        <w:pStyle w:val="Heading1"/>
      </w:pPr>
      <w:r>
        <w:t xml:space="preserve">SAP Clean Core dan Fit-to-Standard: Mengapa Hambatannya Budaya, Bukan Teknologi</w:t>
      </w:r>
    </w:p>
    <w:p>
      <w:pPr>
        <w:pStyle w:val="FirstParagraph"/>
      </w:pPr>
      <w:r>
        <w:t xml:space="preserve">Tim IT sudah punya semua peralatan yang dijanjikan untuk menjaga inti tetap bersih: ABAP Cloud, SAP BTP, model extensibility berjenjang. Namun enam bulan setelah workshop, permintaan kustomisasi tetap mengalir deras dengan alasan yang itu-itu saja:</w:t>
      </w:r>
      <w:r>
        <w:t xml:space="preserve"> </w:t>
      </w:r>
      <w:r>
        <w:t xml:space="preserve">“proses kita unik”</w:t>
      </w:r>
      <w:r>
        <w:t xml:space="preserve">,</w:t>
      </w:r>
      <w:r>
        <w:t xml:space="preserve"> </w:t>
      </w:r>
      <w:r>
        <w:t xml:space="preserve">“user tidak mau berubah”</w:t>
      </w:r>
      <w:r>
        <w:t xml:space="preserve">,</w:t>
      </w:r>
      <w:r>
        <w:t xml:space="preserve"> </w:t>
      </w:r>
      <w:r>
        <w:t xml:space="preserve">“lebih cepat kalau di-</w:t>
      </w:r>
      <w:r>
        <w:rPr>
          <w:i/>
          <w:iCs/>
        </w:rPr>
        <w:t xml:space="preserve">custom</w:t>
      </w:r>
      <w:r>
        <w:t xml:space="preserve"> </w:t>
      </w:r>
      <w:r>
        <w:t xml:space="preserve">saja”</w:t>
      </w:r>
      <w:r>
        <w:t xml:space="preserve">. Yang gagal bukan teknologinya. Yang gagal adalah</w:t>
      </w:r>
      <w:r>
        <w:t xml:space="preserve"> </w:t>
      </w:r>
      <w:r>
        <w:rPr>
          <w:i/>
          <w:iCs/>
        </w:rPr>
        <w:t xml:space="preserve">fit-to-standard</w:t>
      </w:r>
      <w:r>
        <w:t xml:space="preserve">, dan itu adalah persoalan budaya, bukan konfigurasi. Artikel ini membedah mengapa penerapan</w:t>
      </w:r>
      <w:r>
        <w:t xml:space="preserve"> </w:t>
      </w:r>
      <w:hyperlink r:id="rId17">
        <w:r>
          <w:rPr>
            <w:rStyle w:val="Hyperlink"/>
          </w:rPr>
          <w:t xml:space="preserve">SAP Clean Core</w:t>
        </w:r>
      </w:hyperlink>
      <w:r>
        <w:t xml:space="preserve"> </w:t>
      </w:r>
      <w:r>
        <w:t xml:space="preserve">tersandung pada resistensi manusia, lima pola penolakan yang paling sering muncul, serta cara meresponsnya tanpa jatuh ke dogma</w:t>
      </w:r>
      <w:r>
        <w:t xml:space="preserve"> </w:t>
      </w:r>
      <w:r>
        <w:t xml:space="preserve">“haram meng-</w:t>
      </w:r>
      <w:r>
        <w:rPr>
          <w:i/>
          <w:iCs/>
        </w:rPr>
        <w:t xml:space="preserve">custom</w:t>
      </w:r>
      <w:r>
        <w:t xml:space="preserve">”</w:t>
      </w:r>
      <w:r>
        <w:t xml:space="preserve">.</w:t>
      </w:r>
    </w:p>
    <w:p>
      <w:pPr>
        <w:pStyle w:val="BlockText"/>
      </w:pPr>
      <w:r>
        <w:rPr>
          <w:b/>
          <w:bCs/>
        </w:rPr>
        <w:t xml:space="preserve">Ringkas:</w:t>
      </w:r>
      <w:r>
        <w:t xml:space="preserve"> </w:t>
      </w:r>
      <w:r>
        <w:rPr>
          <w:i/>
          <w:iCs/>
        </w:rPr>
        <w:t xml:space="preserve">Fit-to-standard</w:t>
      </w:r>
      <w:r>
        <w:t xml:space="preserve"> </w:t>
      </w:r>
      <w:r>
        <w:t xml:space="preserve">adalah pendekatan menyesuaikan proses bisnis agar cocok dengan praktik terbaik bawaan SAP, alih-alih memodifikasi software agar cocok dengan cara kerja lama. Ia menjadi inti</w:t>
      </w:r>
      <w:r>
        <w:t xml:space="preserve"> </w:t>
      </w:r>
      <w:r>
        <w:rPr>
          <w:i/>
          <w:iCs/>
        </w:rPr>
        <w:t xml:space="preserve">clean core</w:t>
      </w:r>
      <w:r>
        <w:t xml:space="preserve"> </w:t>
      </w:r>
      <w:r>
        <w:t xml:space="preserve">karena tanpa kesediaan mengurangi kustomisasi, alat teknis seperti ABAP Cloud dan SAP BTP tidak akan menjaga inti tetap bersih. SAP menyebutnya pergeseran ke pola pikir</w:t>
      </w:r>
      <w:r>
        <w:t xml:space="preserve"> </w:t>
      </w:r>
      <w:r>
        <w:t xml:space="preserve">“why not standard”</w:t>
      </w:r>
      <w:r>
        <w:t xml:space="preserve">.</w:t>
      </w:r>
    </w:p>
    <w:bookmarkStart w:id="18" w:name="Xc003002929c3a63ade03a84ac17696b503d6aaf"/>
    <w:p>
      <w:pPr>
        <w:pStyle w:val="Heading2"/>
      </w:pPr>
      <w:r>
        <w:t xml:space="preserve">Apa itu fit-to-standard dan mengapa ia jantung dari clean core?</w:t>
      </w:r>
    </w:p>
    <w:p>
      <w:pPr>
        <w:pStyle w:val="FirstParagraph"/>
      </w:pPr>
      <w:r>
        <w:rPr>
          <w:i/>
          <w:iCs/>
        </w:rPr>
        <w:t xml:space="preserve">Fit-to-standard</w:t>
      </w:r>
      <w:r>
        <w:t xml:space="preserve"> </w:t>
      </w:r>
      <w:r>
        <w:t xml:space="preserve">adalah keputusan sadar menjadikan proses standar SAP sebagai titik awal, lalu menyesuaikan cara kerja perusahaan ke sana, bukan sebaliknya. Ia jantung</w:t>
      </w:r>
      <w:r>
        <w:t xml:space="preserve"> </w:t>
      </w:r>
      <w:r>
        <w:rPr>
          <w:i/>
          <w:iCs/>
        </w:rPr>
        <w:t xml:space="preserve">clean core</w:t>
      </w:r>
      <w:r>
        <w:t xml:space="preserve"> </w:t>
      </w:r>
      <w:r>
        <w:t xml:space="preserve">karena semua alat teknis untuk menjaga inti tetap bersih baru berguna jika organisasi bersedia berhenti meminta modifikasi. Tanpa itu, alatnya menganggur.</w:t>
      </w:r>
    </w:p>
    <w:p>
      <w:pPr>
        <w:pStyle w:val="BodyText"/>
      </w:pPr>
      <w:r>
        <w:t xml:space="preserve">SAP membingkainya sebagai perubahan pertanyaan: dari</w:t>
      </w:r>
      <w:r>
        <w:t xml:space="preserve"> </w:t>
      </w:r>
      <w:r>
        <w:t xml:space="preserve">“bagaimana kita memaksa sistem agar cocok dengan cara kerja historis kita?”</w:t>
      </w:r>
      <w:r>
        <w:t xml:space="preserve"> </w:t>
      </w:r>
      <w:r>
        <w:t xml:space="preserve">menjadi</w:t>
      </w:r>
      <w:r>
        <w:t xml:space="preserve"> </w:t>
      </w:r>
      <w:r>
        <w:t xml:space="preserve">“bagaimana kita memanfaatkan proses standar agar lebih gesit dan efisien?”</w:t>
      </w:r>
      <w:r>
        <w:t xml:space="preserve"> </w:t>
      </w:r>
      <w:r>
        <w:t xml:space="preserve">(SAP Learning,</w:t>
      </w:r>
      <w:r>
        <w:t xml:space="preserve"> </w:t>
      </w:r>
      <w:r>
        <w:rPr>
          <w:i/>
          <w:iCs/>
        </w:rPr>
        <w:t xml:space="preserve">Managing Clean Core for SAP Cloud ERP</w:t>
      </w:r>
      <w:r>
        <w:t xml:space="preserve">, diakses 2026). Yang pertama memindahkan beban ke software; yang kedua memindahkan beban ke proses.</w:t>
      </w:r>
    </w:p>
    <w:p>
      <w:pPr>
        <w:pStyle w:val="BodyText"/>
      </w:pPr>
      <w:r>
        <w:t xml:space="preserve">Perlu ditegaskan agar tidak salah paham:</w:t>
      </w:r>
      <w:r>
        <w:t xml:space="preserve"> </w:t>
      </w:r>
      <w:r>
        <w:rPr>
          <w:i/>
          <w:iCs/>
        </w:rPr>
        <w:t xml:space="preserve">fit-to-standard</w:t>
      </w:r>
      <w:r>
        <w:t xml:space="preserve"> </w:t>
      </w:r>
      <w:r>
        <w:t xml:space="preserve">bukan mengharamkan kustomisasi. Ia berarti standar sebagai</w:t>
      </w:r>
      <w:r>
        <w:t xml:space="preserve"> </w:t>
      </w:r>
      <w:r>
        <w:rPr>
          <w:i/>
          <w:iCs/>
        </w:rPr>
        <w:t xml:space="preserve">default</w:t>
      </w:r>
      <w:r>
        <w:t xml:space="preserve">, dan deviasi sebagai pengecualian yang disengaja serta terdokumentasi. Menyajikannya sebagai</w:t>
      </w:r>
      <w:r>
        <w:t xml:space="preserve"> </w:t>
      </w:r>
      <w:r>
        <w:t xml:space="preserve">“dilarang meng-</w:t>
      </w:r>
      <w:r>
        <w:rPr>
          <w:i/>
          <w:iCs/>
        </w:rPr>
        <w:t xml:space="preserve">custom</w:t>
      </w:r>
      <w:r>
        <w:t xml:space="preserve">”</w:t>
      </w:r>
      <w:r>
        <w:t xml:space="preserve"> </w:t>
      </w:r>
      <w:r>
        <w:t xml:space="preserve">akan ditolak pemilik proses berpengalaman, dan mereka benar menolaknya. Ketika standar jadi jawaban awal dan setiap penyimpangan harus membuktikan diri, inti sistem punya peluang tetap bersih saat waktunya</w:t>
      </w:r>
      <w:r>
        <w:t xml:space="preserve"> </w:t>
      </w:r>
      <w:r>
        <w:rPr>
          <w:i/>
          <w:iCs/>
        </w:rPr>
        <w:t xml:space="preserve">upgrade</w:t>
      </w:r>
      <w:r>
        <w:t xml:space="preserve">.</w:t>
      </w:r>
    </w:p>
    <w:bookmarkEnd w:id="18"/>
    <w:bookmarkStart w:id="20" w:name="X435c2892973d7eaa85200580211dc40723e2a92"/>
    <w:p>
      <w:pPr>
        <w:pStyle w:val="Heading2"/>
      </w:pPr>
      <w:r>
        <w:t xml:space="preserve">Mengapa hambatannya budaya, bukan teknologi</w:t>
      </w:r>
    </w:p>
    <w:p>
      <w:pPr>
        <w:pStyle w:val="FirstParagraph"/>
      </w:pPr>
      <w:r>
        <w:t xml:space="preserve">Hambatan terberat</w:t>
      </w:r>
      <w:r>
        <w:t xml:space="preserve"> </w:t>
      </w:r>
      <w:r>
        <w:rPr>
          <w:i/>
          <w:iCs/>
        </w:rPr>
        <w:t xml:space="preserve">clean core</w:t>
      </w:r>
      <w:r>
        <w:t xml:space="preserve"> </w:t>
      </w:r>
      <w:r>
        <w:t xml:space="preserve">jarang bersifat teknis. Menurut pengamatan praktisi industri, penghalang justru muncul dari organisasi: tekanan jadwal</w:t>
      </w:r>
      <w:r>
        <w:t xml:space="preserve"> </w:t>
      </w:r>
      <w:r>
        <w:rPr>
          <w:i/>
          <w:iCs/>
        </w:rPr>
        <w:t xml:space="preserve">delivery</w:t>
      </w:r>
      <w:r>
        <w:t xml:space="preserve">,</w:t>
      </w:r>
      <w:r>
        <w:t xml:space="preserve"> </w:t>
      </w:r>
      <w:r>
        <w:rPr>
          <w:i/>
          <w:iCs/>
        </w:rPr>
        <w:t xml:space="preserve">governance</w:t>
      </w:r>
      <w:r>
        <w:t xml:space="preserve"> </w:t>
      </w:r>
      <w:r>
        <w:t xml:space="preserve">yang kurang sumber daya, resistensi budaya terhadap proses standar, dan kebiasaan meraih</w:t>
      </w:r>
      <w:r>
        <w:t xml:space="preserve"> </w:t>
      </w:r>
      <w:r>
        <w:rPr>
          <w:i/>
          <w:iCs/>
        </w:rPr>
        <w:t xml:space="preserve">custom code</w:t>
      </w:r>
      <w:r>
        <w:t xml:space="preserve"> </w:t>
      </w:r>
      <w:r>
        <w:t xml:space="preserve">saat kebutuhan baru muncul. Alatnya sudah matang; keputusan untuk memakainya yang belum tentu diambil.</w:t>
      </w:r>
    </w:p>
    <w:p>
      <w:pPr>
        <w:pStyle w:val="BodyText"/>
      </w:pPr>
      <w:r>
        <w:t xml:space="preserve">Sudut ini pengamatan praktisi, bukan studi terkontrol, jadi bacalah sebagai pandangan lapangan. IgniteSAP mencatat banyak organisasi</w:t>
      </w:r>
      <w:r>
        <w:t xml:space="preserve"> </w:t>
      </w:r>
      <w:r>
        <w:t xml:space="preserve">“melebih-lebihkan kebutuhan kustomisasi ERP”</w:t>
      </w:r>
      <w:r>
        <w:t xml:space="preserve"> </w:t>
      </w:r>
      <w:r>
        <w:t xml:space="preserve">dan mengasumsikan alur kerjanya terlalu rumit untuk fungsi standar SAP, padahal seringnya itu sekadar kebiasaan lama, bukan diferensiasi nyata (IgniteSAP,</w:t>
      </w:r>
      <w:r>
        <w:t xml:space="preserve"> </w:t>
      </w:r>
      <w:r>
        <w:rPr>
          <w:i/>
          <w:iCs/>
        </w:rPr>
        <w:t xml:space="preserve">Resistance to Standardization in SAP Projects</w:t>
      </w:r>
      <w:r>
        <w:t xml:space="preserve">, Januari 2025). Akarnya: keputusan meng-</w:t>
      </w:r>
      <w:r>
        <w:rPr>
          <w:i/>
          <w:iCs/>
        </w:rPr>
        <w:t xml:space="preserve">custom</w:t>
      </w:r>
      <w:r>
        <w:t xml:space="preserve"> </w:t>
      </w:r>
      <w:r>
        <w:t xml:space="preserve">dibuat pemilik proses bisnis, bukan tim IT, dan didorong rasa aman terhadap yang sudah dikenal.</w:t>
      </w:r>
    </w:p>
    <w:p>
      <w:pPr>
        <w:pStyle w:val="BodyText"/>
      </w:pPr>
      <w:r>
        <w:t xml:space="preserve">Resistensi ini pun jarang tampak sebagai penolakan terbuka. Lebih sering ia hadir sebagai kompromi diam-diam: satu permintaan kustomisasi disetujui</w:t>
      </w:r>
      <w:r>
        <w:t xml:space="preserve"> </w:t>
      </w:r>
      <w:r>
        <w:t xml:space="preserve">“supaya proyek jalan dulu”</w:t>
      </w:r>
      <w:r>
        <w:t xml:space="preserve">, lalu disusul permintaan berikutnya. Tanpa disiplin, kustomisasi merayap kembali, dan fase pasca go-live jadi titik paling rawan karena tim implementasi mundur dan perhatian pindah ke proyek lain. Karena itulah</w:t>
      </w:r>
      <w:r>
        <w:t xml:space="preserve"> </w:t>
      </w:r>
      <w:r>
        <w:rPr>
          <w:i/>
          <w:iCs/>
        </w:rPr>
        <w:t xml:space="preserve">clean core</w:t>
      </w:r>
      <w:r>
        <w:t xml:space="preserve"> </w:t>
      </w:r>
      <w:r>
        <w:t xml:space="preserve">lebih dari strategi teknis; ia komitmen organisasi yang harus terus dijaga.</w:t>
      </w:r>
    </w:p>
    <w:p>
      <w:pPr>
        <w:pStyle w:val="BodyText"/>
      </w:pPr>
      <w:r>
        <w:t xml:space="preserve">Momen paling menentukan untuk pola pikir ini biasanya datang saat proyek besar. Ketika perusahaan menjalankan</w:t>
      </w:r>
      <w:r>
        <w:t xml:space="preserve"> </w:t>
      </w:r>
      <w:hyperlink r:id="rId19">
        <w:r>
          <w:rPr>
            <w:rStyle w:val="Hyperlink"/>
          </w:rPr>
          <w:t xml:space="preserve">migrasi ERP ke cloud</w:t>
        </w:r>
      </w:hyperlink>
      <w:r>
        <w:t xml:space="preserve"> </w:t>
      </w:r>
      <w:r>
        <w:t xml:space="preserve">dengan pendekatan</w:t>
      </w:r>
      <w:r>
        <w:t xml:space="preserve"> </w:t>
      </w:r>
      <w:r>
        <w:rPr>
          <w:i/>
          <w:iCs/>
        </w:rPr>
        <w:t xml:space="preserve">greenfield</w:t>
      </w:r>
      <w:r>
        <w:t xml:space="preserve">, mereka praktis membangun ulang dari standar: peluang emas menyetel ulang kebiasaan sebelum ia mengeras kembali.</w:t>
      </w:r>
    </w:p>
    <w:bookmarkEnd w:id="20"/>
    <w:bookmarkStart w:id="21" w:name="X606d64adf920c6e6d7146e7f1e971843cf77701"/>
    <w:p>
      <w:pPr>
        <w:pStyle w:val="Heading2"/>
      </w:pPr>
      <w:r>
        <w:t xml:space="preserve">Bagaimana meyakinkan pemilik proses bisnis menerima proses standar?</w:t>
      </w:r>
    </w:p>
    <w:p>
      <w:pPr>
        <w:pStyle w:val="FirstParagraph"/>
      </w:pPr>
      <w:r>
        <w:t xml:space="preserve">Cara paling efektif bukan berdebat opini, melainkan menggantinya dengan fakta dan biaya. Tunjukkan bagaimana proses sebenarnya berjalan lewat data, kaitkan tiap permintaan</w:t>
      </w:r>
      <w:r>
        <w:t xml:space="preserve"> </w:t>
      </w:r>
      <w:r>
        <w:rPr>
          <w:i/>
          <w:iCs/>
        </w:rPr>
        <w:t xml:space="preserve">custom</w:t>
      </w:r>
      <w:r>
        <w:t xml:space="preserve"> </w:t>
      </w:r>
      <w:r>
        <w:t xml:space="preserve">dengan beban</w:t>
      </w:r>
      <w:r>
        <w:t xml:space="preserve"> </w:t>
      </w:r>
      <w:r>
        <w:rPr>
          <w:i/>
          <w:iCs/>
        </w:rPr>
        <w:t xml:space="preserve">maintenance</w:t>
      </w:r>
      <w:r>
        <w:t xml:space="preserve"> </w:t>
      </w:r>
      <w:r>
        <w:t xml:space="preserve">berulang dan risiko</w:t>
      </w:r>
      <w:r>
        <w:t xml:space="preserve"> </w:t>
      </w:r>
      <w:r>
        <w:rPr>
          <w:i/>
          <w:iCs/>
        </w:rPr>
        <w:t xml:space="preserve">upgrade</w:t>
      </w:r>
      <w:r>
        <w:t xml:space="preserve">, sesuaikan pesan per audiens, dan hadirkan sponsor eksekutif di ruang keputusan. Debat</w:t>
      </w:r>
      <w:r>
        <w:t xml:space="preserve"> </w:t>
      </w:r>
      <w:r>
        <w:t xml:space="preserve">“proses kita unik”</w:t>
      </w:r>
      <w:r>
        <w:t xml:space="preserve"> </w:t>
      </w:r>
      <w:r>
        <w:t xml:space="preserve">pun bisa diuji.</w:t>
      </w:r>
    </w:p>
    <w:p>
      <w:pPr>
        <w:pStyle w:val="BodyText"/>
      </w:pPr>
      <w:r>
        <w:t xml:space="preserve">Di sinilah</w:t>
      </w:r>
      <w:r>
        <w:t xml:space="preserve"> </w:t>
      </w:r>
      <w:r>
        <w:rPr>
          <w:i/>
          <w:iCs/>
        </w:rPr>
        <w:t xml:space="preserve">process mining</w:t>
      </w:r>
      <w:r>
        <w:t xml:space="preserve"> </w:t>
      </w:r>
      <w:r>
        <w:t xml:space="preserve">berguna.</w:t>
      </w:r>
      <w:r>
        <w:t xml:space="preserve"> </w:t>
      </w:r>
      <w:r>
        <w:rPr>
          <w:b/>
          <w:bCs/>
        </w:rPr>
        <w:t xml:space="preserve">SAP Signavio</w:t>
      </w:r>
      <w:r>
        <w:t xml:space="preserve"> </w:t>
      </w:r>
      <w:r>
        <w:t xml:space="preserve">dapat menganalisis bagaimana proses benar-benar berjalan dari data transaksi, lalu membandingkannya dengan model referensi standar lewat</w:t>
      </w:r>
      <w:r>
        <w:t xml:space="preserve"> </w:t>
      </w:r>
      <w:r>
        <w:rPr>
          <w:i/>
          <w:iCs/>
        </w:rPr>
        <w:t xml:space="preserve">conformance checking</w:t>
      </w:r>
      <w:r>
        <w:t xml:space="preserve"> </w:t>
      </w:r>
      <w:r>
        <w:t xml:space="preserve">untuk menyorot deviasi. Perlu dicatat, Signavio adalah alat, bukan wasit: ia memberi fakta soal seberapa jauh proses menyimpang, tetapi keputusan standar-vs-</w:t>
      </w:r>
      <w:r>
        <w:rPr>
          <w:i/>
          <w:iCs/>
        </w:rPr>
        <w:t xml:space="preserve">custom</w:t>
      </w:r>
      <w:r>
        <w:t xml:space="preserve"> </w:t>
      </w:r>
      <w:r>
        <w:t xml:space="preserve">tetap di tangan</w:t>
      </w:r>
      <w:r>
        <w:t xml:space="preserve"> </w:t>
      </w:r>
      <w:r>
        <w:rPr>
          <w:i/>
          <w:iCs/>
        </w:rPr>
        <w:t xml:space="preserve">governance</w:t>
      </w:r>
      <w:r>
        <w:t xml:space="preserve"> </w:t>
      </w:r>
      <w:r>
        <w:t xml:space="preserve">dan manusia. Nilainya di situ: argumen</w:t>
      </w:r>
      <w:r>
        <w:t xml:space="preserve"> </w:t>
      </w:r>
      <w:r>
        <w:t xml:space="preserve">“kita selalu begini”</w:t>
      </w:r>
      <w:r>
        <w:t xml:space="preserve"> </w:t>
      </w:r>
      <w:r>
        <w:t xml:space="preserve">jadi bisa ditimbang dengan angka.</w:t>
      </w:r>
    </w:p>
    <w:p>
      <w:pPr>
        <w:pStyle w:val="BodyText"/>
      </w:pPr>
      <w:r>
        <w:t xml:space="preserve">Untuk logika keputusannya, praktisi lapangan sering menyederhanakannya menjadi</w:t>
      </w:r>
      <w:r>
        <w:t xml:space="preserve"> </w:t>
      </w:r>
      <w:r>
        <w:t xml:space="preserve">“</w:t>
      </w:r>
      <w:r>
        <w:rPr>
          <w:i/>
          <w:iCs/>
        </w:rPr>
        <w:t xml:space="preserve">two-question test</w:t>
      </w:r>
      <w:r>
        <w:t xml:space="preserve">”</w:t>
      </w:r>
      <w:r>
        <w:t xml:space="preserve">. Perlu jujur, istilah ini bukan frasa resmi SAP. SAP Learning memakai klasifikasi tiga kategori (</w:t>
      </w:r>
      <w:r>
        <w:rPr>
          <w:b/>
          <w:bCs/>
        </w:rPr>
        <w:t xml:space="preserve">Standard</w:t>
      </w:r>
      <w:r>
        <w:t xml:space="preserve">,</w:t>
      </w:r>
      <w:r>
        <w:t xml:space="preserve"> </w:t>
      </w:r>
      <w:r>
        <w:rPr>
          <w:b/>
          <w:bCs/>
        </w:rPr>
        <w:t xml:space="preserve">Enhanced</w:t>
      </w:r>
      <w:r>
        <w:t xml:space="preserve">,</w:t>
      </w:r>
      <w:r>
        <w:t xml:space="preserve"> </w:t>
      </w:r>
      <w:r>
        <w:rPr>
          <w:b/>
          <w:bCs/>
        </w:rPr>
        <w:t xml:space="preserve">Custom</w:t>
      </w:r>
      <w:r>
        <w:t xml:space="preserve">) dan hanya membolehkan deviasi untuk tiga alasan: kepatuhan industri, kewajiban regulasi lokal, dan kapabilitas pembeda pasar yang bernilai terukur.</w:t>
      </w:r>
      <w:r>
        <w:t xml:space="preserve"> </w:t>
      </w:r>
      <w:r>
        <w:t xml:space="preserve">“</w:t>
      </w:r>
      <w:r>
        <w:rPr>
          <w:i/>
          <w:iCs/>
        </w:rPr>
        <w:t xml:space="preserve">Two-question test</w:t>
      </w:r>
      <w:r>
        <w:t xml:space="preserve">”</w:t>
      </w:r>
      <w:r>
        <w:t xml:space="preserve"> </w:t>
      </w:r>
      <w:r>
        <w:t xml:space="preserve">hanyalah cara populer menuruni tangga itu: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Langkah</w:t>
            </w:r>
          </w:p>
        </w:tc>
        <w:tc>
          <w:tcPr/>
          <w:p>
            <w:pPr>
              <w:pStyle w:val="Compact"/>
            </w:pPr>
            <w:r>
              <w:t xml:space="preserve">Pertanyaan</w:t>
            </w:r>
          </w:p>
        </w:tc>
        <w:tc>
          <w:tcPr/>
          <w:p>
            <w:pPr>
              <w:pStyle w:val="Compact"/>
            </w:pPr>
            <w:r>
              <w:t xml:space="preserve">Jika</w:t>
            </w:r>
            <w:r>
              <w:t xml:space="preserve"> </w:t>
            </w:r>
            <w:r>
              <w:t xml:space="preserve">“ya”</w:t>
            </w:r>
          </w:p>
        </w:tc>
        <w:tc>
          <w:tcPr/>
          <w:p>
            <w:pPr>
              <w:pStyle w:val="Compact"/>
            </w:pPr>
            <w:r>
              <w:t xml:space="preserve">Jika</w:t>
            </w:r>
            <w:r>
              <w:t xml:space="preserve"> </w:t>
            </w:r>
            <w:r>
              <w:t xml:space="preserve">“tidak”</w:t>
            </w:r>
          </w:p>
        </w:tc>
      </w:tr>
      <w:tr>
        <w:tc>
          <w:tcPr/>
          <w:p>
            <w:pPr>
              <w:pStyle w:val="Compact"/>
            </w:pPr>
            <w:r>
              <w:t xml:space="preserve">1</w:t>
            </w:r>
          </w:p>
        </w:tc>
        <w:tc>
          <w:tcPr/>
          <w:p>
            <w:pPr>
              <w:pStyle w:val="Compact"/>
            </w:pPr>
            <w:r>
              <w:t xml:space="preserve">Bisakah proses standar SAP memenuhinya?</w:t>
            </w:r>
          </w:p>
        </w:tc>
        <w:tc>
          <w:tcPr/>
          <w:p>
            <w:pPr>
              <w:pStyle w:val="Compact"/>
            </w:pPr>
            <w:r>
              <w:t xml:space="preserve">Pakai standar (</w:t>
            </w:r>
            <w:r>
              <w:rPr>
                <w:i/>
                <w:iCs/>
              </w:rPr>
              <w:t xml:space="preserve">fit-to-standard</w:t>
            </w:r>
            <w:r>
              <w:t xml:space="preserve">)</w:t>
            </w:r>
          </w:p>
        </w:tc>
        <w:tc>
          <w:tcPr/>
          <w:p>
            <w:pPr>
              <w:pStyle w:val="Compact"/>
            </w:pPr>
            <w:r>
              <w:t xml:space="preserve">Lanjut ke langkah 2</w:t>
            </w:r>
          </w:p>
        </w:tc>
      </w:tr>
      <w:tr>
        <w:tc>
          <w:tcPr/>
          <w:p>
            <w:pPr>
              <w:pStyle w:val="Compact"/>
            </w:pPr>
            <w:r>
              <w:t xml:space="preserve">2</w:t>
            </w:r>
          </w:p>
        </w:tc>
        <w:tc>
          <w:tcPr/>
          <w:p>
            <w:pPr>
              <w:pStyle w:val="Compact"/>
            </w:pPr>
            <w:r>
              <w:t xml:space="preserve">Cukupkah ekstensi bersih (Level A/B di luar inti)?</w:t>
            </w:r>
          </w:p>
        </w:tc>
        <w:tc>
          <w:tcPr/>
          <w:p>
            <w:pPr>
              <w:pStyle w:val="Compact"/>
            </w:pPr>
            <w:r>
              <w:t xml:space="preserve">Bangun ekstensi bersih, terdokumentasi</w:t>
            </w:r>
          </w:p>
        </w:tc>
        <w:tc>
          <w:tcPr/>
          <w:p>
            <w:pPr>
              <w:pStyle w:val="Compact"/>
            </w:pPr>
            <w:r>
              <w:t xml:space="preserve">Lanjut ke uji justifikasi</w:t>
            </w:r>
          </w:p>
        </w:tc>
      </w:tr>
      <w:tr>
        <w:tc>
          <w:tcPr/>
          <w:p>
            <w:pPr>
              <w:pStyle w:val="Compact"/>
            </w:pPr>
            <w:r>
              <w:t xml:space="preserve">3</w:t>
            </w:r>
          </w:p>
        </w:tc>
        <w:tc>
          <w:tcPr/>
          <w:p>
            <w:pPr>
              <w:pStyle w:val="Compact"/>
            </w:pPr>
            <w:r>
              <w:t xml:space="preserve">Termasuk 3 alasan sah? (kepatuhan / regulasi lokal / pembeda pasar bernilai terukur)</w:t>
            </w:r>
          </w:p>
        </w:tc>
        <w:tc>
          <w:tcPr/>
          <w:p>
            <w:pPr>
              <w:pStyle w:val="Compact"/>
            </w:pPr>
            <w:r>
              <w:t xml:space="preserve">Deviasi sadar via ekstensi bersih +</w:t>
            </w:r>
            <w:r>
              <w:t xml:space="preserve"> </w:t>
            </w:r>
            <w:r>
              <w:rPr>
                <w:i/>
                <w:iCs/>
              </w:rPr>
              <w:t xml:space="preserve">governance</w:t>
            </w:r>
          </w:p>
        </w:tc>
        <w:tc>
          <w:tcPr/>
          <w:p>
            <w:pPr>
              <w:pStyle w:val="Compact"/>
            </w:pPr>
            <w:r>
              <w:t xml:space="preserve">Tolak permintaan; adopsi standar</w:t>
            </w:r>
          </w:p>
        </w:tc>
      </w:tr>
    </w:tbl>
    <w:p>
      <w:pPr>
        <w:pStyle w:val="BodyText"/>
      </w:pPr>
      <w:r>
        <w:t xml:space="preserve">Model</w:t>
      </w:r>
      <w:r>
        <w:t xml:space="preserve"> </w:t>
      </w:r>
      <w:r>
        <w:rPr>
          <w:i/>
          <w:iCs/>
        </w:rPr>
        <w:t xml:space="preserve">extensibility</w:t>
      </w:r>
      <w:r>
        <w:t xml:space="preserve"> </w:t>
      </w:r>
      <w:r>
        <w:t xml:space="preserve">clean core yang diformalkan SAP sejak Agustus 2025 (Level A hingga D) memberi bahasa objektif untuk langkah kedua: Level A memakai</w:t>
      </w:r>
      <w:r>
        <w:t xml:space="preserve"> </w:t>
      </w:r>
      <w:r>
        <w:rPr>
          <w:i/>
          <w:iCs/>
        </w:rPr>
        <w:t xml:space="preserve">released API</w:t>
      </w:r>
      <w:r>
        <w:t xml:space="preserve"> </w:t>
      </w:r>
      <w:r>
        <w:t xml:space="preserve">yang</w:t>
      </w:r>
      <w:r>
        <w:t xml:space="preserve"> </w:t>
      </w:r>
      <w:r>
        <w:rPr>
          <w:i/>
          <w:iCs/>
        </w:rPr>
        <w:t xml:space="preserve">upgrade-safe</w:t>
      </w:r>
      <w:r>
        <w:t xml:space="preserve">, sementara Level D (modifikasi inti)</w:t>
      </w:r>
      <w:r>
        <w:t xml:space="preserve"> </w:t>
      </w:r>
      <w:r>
        <w:t xml:space="preserve">“tidak direkomendasikan”</w:t>
      </w:r>
      <w:r>
        <w:t xml:space="preserve"> </w:t>
      </w:r>
      <w:r>
        <w:t xml:space="preserve">dan menumpuk utang teknis. Pertanyaan</w:t>
      </w:r>
      <w:r>
        <w:t xml:space="preserve"> </w:t>
      </w:r>
      <w:r>
        <w:t xml:space="preserve">“bisa di-</w:t>
      </w:r>
      <w:r>
        <w:rPr>
          <w:i/>
          <w:iCs/>
        </w:rPr>
        <w:t xml:space="preserve">custom</w:t>
      </w:r>
      <w:r>
        <w:t xml:space="preserve"> </w:t>
      </w:r>
      <w:r>
        <w:t xml:space="preserve">nggak?”</w:t>
      </w:r>
      <w:r>
        <w:t xml:space="preserve"> </w:t>
      </w:r>
      <w:r>
        <w:t xml:space="preserve">pun berubah jadi lebih tajam: di level mana, dan siapa menanggung risikonya.</w:t>
      </w:r>
    </w:p>
    <w:bookmarkEnd w:id="21"/>
    <w:bookmarkStart w:id="22" w:name="Xe67493e47d8a3510b46c18ec7a1ebf07ba14063"/>
    <w:p>
      <w:pPr>
        <w:pStyle w:val="Heading2"/>
      </w:pPr>
      <w:r>
        <w:t xml:space="preserve">Lima pola resistensi fit-to-standard dan cara meresponsnya</w:t>
      </w:r>
    </w:p>
    <w:p>
      <w:pPr>
        <w:pStyle w:val="FirstParagraph"/>
      </w:pPr>
      <w:r>
        <w:t xml:space="preserve">Resistensi</w:t>
      </w:r>
      <w:r>
        <w:t xml:space="preserve"> </w:t>
      </w:r>
      <w:r>
        <w:rPr>
          <w:i/>
          <w:iCs/>
        </w:rPr>
        <w:t xml:space="preserve">fit-to-standard</w:t>
      </w:r>
      <w:r>
        <w:t xml:space="preserve"> </w:t>
      </w:r>
      <w:r>
        <w:t xml:space="preserve">biasanya muncul sebagai lima kalimat yang berulang. Mengenalinya sebagai pola, bukan keluhan acak, memudahkan Anda merespons: tiap kalimat punya penyebab sebenarnya, dan tiap penyebab punya penawar yang cocok.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Kalimat yang sering diucapkan</w:t>
            </w:r>
          </w:p>
        </w:tc>
        <w:tc>
          <w:tcPr/>
          <w:p>
            <w:pPr>
              <w:pStyle w:val="Compact"/>
            </w:pPr>
            <w:r>
              <w:t xml:space="preserve">Penyebab sebenarnya</w:t>
            </w:r>
          </w:p>
        </w:tc>
        <w:tc>
          <w:tcPr/>
          <w:p>
            <w:pPr>
              <w:pStyle w:val="Compact"/>
            </w:pPr>
            <w:r>
              <w:t xml:space="preserve">Penawar</w:t>
            </w:r>
          </w:p>
        </w:tc>
      </w:tr>
      <w:tr>
        <w:tc>
          <w:tcPr/>
          <w:p>
            <w:pPr>
              <w:pStyle w:val="Compact"/>
            </w:pPr>
            <w:r>
              <w:t xml:space="preserve">“Proses kita unik”</w:t>
            </w:r>
          </w:p>
        </w:tc>
        <w:tc>
          <w:tcPr/>
          <w:p>
            <w:pPr>
              <w:pStyle w:val="Compact"/>
            </w:pPr>
            <w:r>
              <w:t xml:space="preserve">Keunikan dilebih-lebihkan; kebiasaan lama dikira diferensiasi</w:t>
            </w:r>
          </w:p>
        </w:tc>
        <w:tc>
          <w:tcPr/>
          <w:p>
            <w:pPr>
              <w:pStyle w:val="Compact"/>
            </w:pPr>
            <w:r>
              <w:t xml:space="preserve">Uji dengan</w:t>
            </w:r>
            <w:r>
              <w:t xml:space="preserve"> </w:t>
            </w:r>
            <w:r>
              <w:rPr>
                <w:i/>
                <w:iCs/>
              </w:rPr>
              <w:t xml:space="preserve">process mining</w:t>
            </w:r>
            <w:r>
              <w:t xml:space="preserve"> </w:t>
            </w:r>
            <w:r>
              <w:t xml:space="preserve">(SAP Signavio): tunjukkan seberapa jauh menyimpang dan apakah keunikan itu nyata</w:t>
            </w:r>
          </w:p>
        </w:tc>
      </w:tr>
      <w:tr>
        <w:tc>
          <w:tcPr/>
          <w:p>
            <w:pPr>
              <w:pStyle w:val="Compact"/>
            </w:pPr>
            <w:r>
              <w:t xml:space="preserve">“User tidak mau berubah”</w:t>
            </w:r>
          </w:p>
        </w:tc>
        <w:tc>
          <w:tcPr/>
          <w:p>
            <w:pPr>
              <w:pStyle w:val="Compact"/>
            </w:pPr>
            <w:r>
              <w:t xml:space="preserve">Ketidakpahaman dan rasa tak aman, bukan penolakan murni</w:t>
            </w:r>
          </w:p>
        </w:tc>
        <w:tc>
          <w:tcPr/>
          <w:p>
            <w:pPr>
              <w:pStyle w:val="Compact"/>
            </w:pPr>
            <w:r>
              <w:t xml:space="preserve">Pelatihan berbasis skenario dan advokat internal; komunikasikan</w:t>
            </w:r>
            <w:r>
              <w:t xml:space="preserve"> </w:t>
            </w:r>
            <w:r>
              <w:t xml:space="preserve">“apa untungnya bagi saya”</w:t>
            </w:r>
          </w:p>
        </w:tc>
      </w:tr>
      <w:tr>
        <w:tc>
          <w:tcPr/>
          <w:p>
            <w:pPr>
              <w:pStyle w:val="Compact"/>
            </w:pPr>
            <w:r>
              <w:t xml:space="preserve">“Lebih cepat di-</w:t>
            </w:r>
            <w:r>
              <w:rPr>
                <w:i/>
                <w:iCs/>
              </w:rPr>
              <w:t xml:space="preserve">custom</w:t>
            </w:r>
            <w:r>
              <w:t xml:space="preserve"> </w:t>
            </w:r>
            <w:r>
              <w:t xml:space="preserve">saja”</w:t>
            </w:r>
          </w:p>
        </w:tc>
        <w:tc>
          <w:tcPr/>
          <w:p>
            <w:pPr>
              <w:pStyle w:val="Compact"/>
            </w:pPr>
            <w:r>
              <w:t xml:space="preserve">Fokus biaya sekali, mengabaikan utang berulang</w:t>
            </w:r>
          </w:p>
        </w:tc>
        <w:tc>
          <w:tcPr/>
          <w:p>
            <w:pPr>
              <w:pStyle w:val="Compact"/>
            </w:pPr>
            <w:r>
              <w:t xml:space="preserve">Kaitkan tiap</w:t>
            </w:r>
            <w:r>
              <w:t xml:space="preserve"> </w:t>
            </w:r>
            <w:r>
              <w:rPr>
                <w:i/>
                <w:iCs/>
              </w:rPr>
              <w:t xml:space="preserve">custom</w:t>
            </w:r>
            <w:r>
              <w:t xml:space="preserve"> </w:t>
            </w:r>
            <w:r>
              <w:t xml:space="preserve">ke biaya</w:t>
            </w:r>
            <w:r>
              <w:t xml:space="preserve"> </w:t>
            </w:r>
            <w:r>
              <w:rPr>
                <w:i/>
                <w:iCs/>
              </w:rPr>
              <w:t xml:space="preserve">maintenance</w:t>
            </w:r>
            <w:r>
              <w:t xml:space="preserve"> </w:t>
            </w:r>
            <w:r>
              <w:t xml:space="preserve">dan risiko</w:t>
            </w:r>
            <w:r>
              <w:t xml:space="preserve"> </w:t>
            </w:r>
            <w:r>
              <w:rPr>
                <w:i/>
                <w:iCs/>
              </w:rPr>
              <w:t xml:space="preserve">upgrade</w:t>
            </w:r>
            <w:r>
              <w:t xml:space="preserve"> </w:t>
            </w:r>
            <w:r>
              <w:t xml:space="preserve">(Level A–D)</w:t>
            </w:r>
          </w:p>
        </w:tc>
      </w:tr>
      <w:tr>
        <w:tc>
          <w:tcPr/>
          <w:p>
            <w:pPr>
              <w:pStyle w:val="Compact"/>
            </w:pPr>
            <w:r>
              <w:t xml:space="preserve">“Kita selalu begini”</w:t>
            </w:r>
          </w:p>
        </w:tc>
        <w:tc>
          <w:tcPr/>
          <w:p>
            <w:pPr>
              <w:pStyle w:val="Compact"/>
            </w:pPr>
            <w:r>
              <w:t xml:space="preserve">Keterikatan legacy dan tekanan jadwal</w:t>
            </w:r>
          </w:p>
        </w:tc>
        <w:tc>
          <w:tcPr/>
          <w:p>
            <w:pPr>
              <w:pStyle w:val="Compact"/>
            </w:pPr>
            <w:r>
              <w:t xml:space="preserve">Sponsor eksekutif menegaskan</w:t>
            </w:r>
            <w:r>
              <w:t xml:space="preserve"> </w:t>
            </w:r>
            <w:r>
              <w:rPr>
                <w:i/>
                <w:iCs/>
              </w:rPr>
              <w:t xml:space="preserve">default</w:t>
            </w:r>
            <w:r>
              <w:t xml:space="preserve"> </w:t>
            </w:r>
            <w:r>
              <w:t xml:space="preserve">= standar; keputusan terdokumentasi</w:t>
            </w:r>
          </w:p>
        </w:tc>
      </w:tr>
      <w:tr>
        <w:tc>
          <w:tcPr/>
          <w:p>
            <w:pPr>
              <w:pStyle w:val="Compact"/>
            </w:pPr>
            <w:r>
              <w:t xml:space="preserve">“Vendor bilang bisa di-</w:t>
            </w:r>
            <w:r>
              <w:rPr>
                <w:i/>
                <w:iCs/>
              </w:rPr>
              <w:t xml:space="preserve">custom</w:t>
            </w:r>
            <w:r>
              <w:t xml:space="preserve">”</w:t>
            </w:r>
          </w:p>
        </w:tc>
        <w:tc>
          <w:tcPr/>
          <w:p>
            <w:pPr>
              <w:pStyle w:val="Compact"/>
            </w:pPr>
            <w:r>
              <w:rPr>
                <w:i/>
                <w:iCs/>
              </w:rPr>
              <w:t xml:space="preserve">Governance</w:t>
            </w:r>
            <w:r>
              <w:t xml:space="preserve"> </w:t>
            </w:r>
            <w:r>
              <w:t xml:space="preserve">lemah, tak ada beban pembuktian</w:t>
            </w:r>
          </w:p>
        </w:tc>
        <w:tc>
          <w:tcPr/>
          <w:p>
            <w:pPr>
              <w:pStyle w:val="Compact"/>
            </w:pPr>
            <w:r>
              <w:t xml:space="preserve">“Why not standard”</w:t>
            </w:r>
            <w:r>
              <w:t xml:space="preserve">: lulus uji standar dulu, ekstensi Level A/B kemudian, dengan persetujuan</w:t>
            </w:r>
            <w:r>
              <w:t xml:space="preserve"> </w:t>
            </w:r>
            <w:r>
              <w:rPr>
                <w:i/>
                <w:iCs/>
              </w:rPr>
              <w:t xml:space="preserve">governance</w:t>
            </w:r>
          </w:p>
        </w:tc>
      </w:tr>
    </w:tbl>
    <w:p>
      <w:pPr>
        <w:pStyle w:val="BodyText"/>
      </w:pPr>
      <w:r>
        <w:t xml:space="preserve">Hampir semua penawar bersifat komunikasi dan</w:t>
      </w:r>
      <w:r>
        <w:t xml:space="preserve"> </w:t>
      </w:r>
      <w:r>
        <w:rPr>
          <w:i/>
          <w:iCs/>
        </w:rPr>
        <w:t xml:space="preserve">governance</w:t>
      </w:r>
      <w:r>
        <w:t xml:space="preserve">, bukan teknis. Pesannya perlu disesuaikan per audiens: ke eksekutif, bicara penghematan dan skalabilitas; ke tim IT, bicara keandalan sistem dan berkurangnya beban perawatan. Pelatihan pun lebih melekat bila berbasis skenario nyata.</w:t>
      </w:r>
    </w:p>
    <w:p>
      <w:pPr>
        <w:pStyle w:val="BodyText"/>
      </w:pPr>
      <w:r>
        <w:t xml:space="preserve">Satu catatan dari pengalaman implementasi: resistensi paling reda ketika sponsor eksekutif ikut duduk di ruang keputusan proses, bukan sekadar meneken anggaran di akhir. Kehadiran itu mengubah</w:t>
      </w:r>
      <w:r>
        <w:t xml:space="preserve"> </w:t>
      </w:r>
      <w:r>
        <w:t xml:space="preserve">“why not standard”</w:t>
      </w:r>
      <w:r>
        <w:t xml:space="preserve"> </w:t>
      </w:r>
      <w:r>
        <w:t xml:space="preserve">dari slogan tim IT jadi kebijakan perusahaan.</w:t>
      </w:r>
    </w:p>
    <w:bookmarkEnd w:id="22"/>
    <w:bookmarkStart w:id="24" w:name="X0b5b524024cf46b0ae0b14b3dd2e7e530bdfaa0"/>
    <w:p>
      <w:pPr>
        <w:pStyle w:val="Heading2"/>
      </w:pPr>
      <w:r>
        <w:t xml:space="preserve">Kapan proses</w:t>
      </w:r>
      <w:r>
        <w:t xml:space="preserve"> </w:t>
      </w:r>
      <w:r>
        <w:t xml:space="preserve">“unik”</w:t>
      </w:r>
      <w:r>
        <w:t xml:space="preserve"> </w:t>
      </w:r>
      <w:r>
        <w:t xml:space="preserve">Anda memang layak dipertahankan</w:t>
      </w:r>
    </w:p>
    <w:p>
      <w:pPr>
        <w:pStyle w:val="FirstParagraph"/>
      </w:pPr>
      <w:r>
        <w:t xml:space="preserve">Bagian ini jarang ditulis, padahal penting:</w:t>
      </w:r>
      <w:r>
        <w:t xml:space="preserve"> </w:t>
      </w:r>
      <w:r>
        <w:rPr>
          <w:i/>
          <w:iCs/>
        </w:rPr>
        <w:t xml:space="preserve">fit-to-standard</w:t>
      </w:r>
      <w:r>
        <w:t xml:space="preserve"> </w:t>
      </w:r>
      <w:r>
        <w:t xml:space="preserve">bukan</w:t>
      </w:r>
      <w:r>
        <w:t xml:space="preserve"> </w:t>
      </w:r>
      <w:r>
        <w:t xml:space="preserve">“standar buta”</w:t>
      </w:r>
      <w:r>
        <w:t xml:space="preserve">. Ada tiga kondisi ketika menyimpang dari standar SAP justru keputusan yang benar: kepatuhan industri, kewajiban regulasi lokal, dan keunggulan kompetitif sejati yang bernilai bisnis terukur. Kuncinya bukan menolak semua deviasi, melainkan memastikan tiap deviasi adalah pilihan sadar.</w:t>
      </w:r>
    </w:p>
    <w:p>
      <w:pPr>
        <w:pStyle w:val="BodyText"/>
      </w:pPr>
      <w:r>
        <w:t xml:space="preserve">SAP mengakui ketiga alasan itu, dan praktisi menambahkan operasi sangat terspesialisasi yang standarnya memang tidak memadai. Di Indonesia, contoh sah untuk</w:t>
      </w:r>
      <w:r>
        <w:t xml:space="preserve"> </w:t>
      </w:r>
      <w:r>
        <w:t xml:space="preserve">“regulasi lokal”</w:t>
      </w:r>
      <w:r>
        <w:t xml:space="preserve"> </w:t>
      </w:r>
      <w:r>
        <w:t xml:space="preserve">mudah dibayangkan: integrasi ke sistem perpajakan nasional atau kewajiban pelaporan sektoral bisa menuntut penyesuaian yang tidak ada di standar global. Ini ilustrasi kategori, bukan resep; kebutuhan tiap perusahaan tetap harus diverifikasi sendiri.</w:t>
      </w:r>
    </w:p>
    <w:p>
      <w:pPr>
        <w:pStyle w:val="BodyText"/>
      </w:pPr>
      <w:r>
        <w:t xml:space="preserve">Yang membedakan deviasi sehat dari kustomisasi liar adalah</w:t>
      </w:r>
      <w:r>
        <w:t xml:space="preserve"> </w:t>
      </w:r>
      <w:r>
        <w:rPr>
          <w:i/>
          <w:iCs/>
        </w:rPr>
        <w:t xml:space="preserve">bagaimana</w:t>
      </w:r>
      <w:r>
        <w:t xml:space="preserve"> </w:t>
      </w:r>
      <w:r>
        <w:t xml:space="preserve">ia diwujudkan. Deviasi yang benar dibangun sebagai ekstensi bersih di luar inti (idealnya Level A atau B) sehingga inti S/4HANA tetap</w:t>
      </w:r>
      <w:r>
        <w:t xml:space="preserve"> </w:t>
      </w:r>
      <w:r>
        <w:rPr>
          <w:i/>
          <w:iCs/>
        </w:rPr>
        <w:t xml:space="preserve">upgrade-safe</w:t>
      </w:r>
      <w:r>
        <w:t xml:space="preserve"> </w:t>
      </w:r>
      <w:r>
        <w:t xml:space="preserve">dan keputusannya terdokumentasi. Deviasi yang buruk memodifikasi inti diam-diam dan baru terasa akibatnya saat</w:t>
      </w:r>
      <w:r>
        <w:t xml:space="preserve"> </w:t>
      </w:r>
      <w:r>
        <w:rPr>
          <w:i/>
          <w:iCs/>
        </w:rPr>
        <w:t xml:space="preserve">upgrade</w:t>
      </w:r>
      <w:r>
        <w:t xml:space="preserve"> </w:t>
      </w:r>
      <w:r>
        <w:t xml:space="preserve">berikutnya terhambat. Perbedaannya bukan apakah Anda menyimpang, melainkan apakah menyimpang dengan mata terbuka.</w:t>
      </w:r>
    </w:p>
    <w:p>
      <w:pPr>
        <w:pStyle w:val="BodyText"/>
      </w:pPr>
      <w:r>
        <w:t xml:space="preserve">Ada manfaat sampingan yang sering terlewat: proses konsisten menghasilkan data konsisten. Ketika mayoritas divisi berjalan di atas proses standar yang sama, laporan lintas fungsi jadi lebih tepercaya, fondasi sebelum berinvestasi serius di</w:t>
      </w:r>
      <w:r>
        <w:t xml:space="preserve"> </w:t>
      </w:r>
      <w:hyperlink r:id="rId23">
        <w:r>
          <w:rPr>
            <w:rStyle w:val="Hyperlink"/>
          </w:rPr>
          <w:t xml:space="preserve">business intelligence</w:t>
        </w:r>
      </w:hyperlink>
      <w:r>
        <w:t xml:space="preserve">. Standar bukan hanya soal</w:t>
      </w:r>
      <w:r>
        <w:t xml:space="preserve"> </w:t>
      </w:r>
      <w:r>
        <w:rPr>
          <w:i/>
          <w:iCs/>
        </w:rPr>
        <w:t xml:space="preserve">upgrade</w:t>
      </w:r>
      <w:r>
        <w:t xml:space="preserve"> </w:t>
      </w:r>
      <w:r>
        <w:t xml:space="preserve">mulus, tetapi juga soal angka yang bisa dipercaya.</w:t>
      </w:r>
    </w:p>
    <w:bookmarkEnd w:id="24"/>
    <w:bookmarkStart w:id="31" w:name="faq-pertanyaan-yang-sering-diajukan"/>
    <w:p>
      <w:pPr>
        <w:pStyle w:val="Heading2"/>
      </w:pPr>
      <w:r>
        <w:t xml:space="preserve">FAQ (Pertanyaan yang Sering Diajukan)</w:t>
      </w:r>
    </w:p>
    <w:bookmarkStart w:id="25" w:name="apa-itu-fit-to-standard"/>
    <w:p>
      <w:pPr>
        <w:pStyle w:val="Heading3"/>
      </w:pPr>
      <w:r>
        <w:t xml:space="preserve">Apa itu fit-to-standard?</w:t>
      </w:r>
    </w:p>
    <w:p>
      <w:pPr>
        <w:pStyle w:val="FirstParagraph"/>
      </w:pPr>
      <w:r>
        <w:rPr>
          <w:i/>
          <w:iCs/>
        </w:rPr>
        <w:t xml:space="preserve">Fit-to-standard</w:t>
      </w:r>
      <w:r>
        <w:t xml:space="preserve"> </w:t>
      </w:r>
      <w:r>
        <w:t xml:space="preserve">adalah pendekatan menyesuaikan proses bisnis agar cocok dengan praktik terbaik bawaan SAP, alih-alih memodifikasi software agar cocok dengan cara kerja lama. SAP membingkainya sebagai pergeseran pola pikir: dari</w:t>
      </w:r>
      <w:r>
        <w:t xml:space="preserve"> </w:t>
      </w:r>
      <w:r>
        <w:t xml:space="preserve">“bagaimana mengubah sistem agar sesuai kebiasaan kami”</w:t>
      </w:r>
      <w:r>
        <w:t xml:space="preserve"> </w:t>
      </w:r>
      <w:r>
        <w:t xml:space="preserve">menjadi</w:t>
      </w:r>
      <w:r>
        <w:t xml:space="preserve"> </w:t>
      </w:r>
      <w:r>
        <w:t xml:space="preserve">“bagaimana memanfaatkan proses standar agar lebih gesit”</w:t>
      </w:r>
      <w:r>
        <w:t xml:space="preserve">. Tanpanya, alat</w:t>
      </w:r>
      <w:r>
        <w:t xml:space="preserve"> </w:t>
      </w:r>
      <w:r>
        <w:rPr>
          <w:i/>
          <w:iCs/>
        </w:rPr>
        <w:t xml:space="preserve">clean core</w:t>
      </w:r>
      <w:r>
        <w:t xml:space="preserve"> </w:t>
      </w:r>
      <w:r>
        <w:t xml:space="preserve">seperti ABAP Cloud dan SAP BTP tidak akan menjaga inti tetap bersih.</w:t>
      </w:r>
    </w:p>
    <w:bookmarkEnd w:id="25"/>
    <w:bookmarkStart w:id="26" w:name="Xc61c2c1b4730fb0b13e83d95d2a0708c6426e08"/>
    <w:p>
      <w:pPr>
        <w:pStyle w:val="Heading3"/>
      </w:pPr>
      <w:r>
        <w:t xml:space="preserve">Mengapa clean core lebih soal budaya daripada teknologi?</w:t>
      </w:r>
    </w:p>
    <w:p>
      <w:pPr>
        <w:pStyle w:val="FirstParagraph"/>
      </w:pPr>
      <w:r>
        <w:t xml:space="preserve">Karena alatnya sudah tersedia dan matang, tetapi keputusan untuk</w:t>
      </w:r>
      <w:r>
        <w:t xml:space="preserve"> </w:t>
      </w:r>
      <w:r>
        <w:rPr>
          <w:i/>
          <w:iCs/>
        </w:rPr>
        <w:t xml:space="preserve">tidak</w:t>
      </w:r>
      <w:r>
        <w:t xml:space="preserve"> </w:t>
      </w:r>
      <w:r>
        <w:t xml:space="preserve">meng-</w:t>
      </w:r>
      <w:r>
        <w:rPr>
          <w:i/>
          <w:iCs/>
        </w:rPr>
        <w:t xml:space="preserve">custom</w:t>
      </w:r>
      <w:r>
        <w:t xml:space="preserve"> </w:t>
      </w:r>
      <w:r>
        <w:t xml:space="preserve">ada di tangan pemilik proses bisnis, bukan tim IT. Menurut pengamatan praktisi (IgniteSAP), hambatan terberat justru organisasi: tekanan jadwal,</w:t>
      </w:r>
      <w:r>
        <w:t xml:space="preserve"> </w:t>
      </w:r>
      <w:r>
        <w:rPr>
          <w:i/>
          <w:iCs/>
        </w:rPr>
        <w:t xml:space="preserve">governance</w:t>
      </w:r>
      <w:r>
        <w:t xml:space="preserve"> </w:t>
      </w:r>
      <w:r>
        <w:t xml:space="preserve">kurang sumber daya, resistensi ke standar, dan kebiasaan meraih</w:t>
      </w:r>
      <w:r>
        <w:t xml:space="preserve"> </w:t>
      </w:r>
      <w:r>
        <w:rPr>
          <w:i/>
          <w:iCs/>
        </w:rPr>
        <w:t xml:space="preserve">custom code</w:t>
      </w:r>
      <w:r>
        <w:t xml:space="preserve">. Teknologi bisa dibeli; kesediaan mengubah cara kerja harus dikelola lewat komunikasi, pelatihan, dan sponsor eksekutif.</w:t>
      </w:r>
    </w:p>
    <w:bookmarkEnd w:id="26"/>
    <w:bookmarkStart w:id="27" w:name="apa-itu-mindset-why-not-standard"/>
    <w:p>
      <w:pPr>
        <w:pStyle w:val="Heading3"/>
      </w:pPr>
      <w:r>
        <w:t xml:space="preserve">Apa itu mindset</w:t>
      </w:r>
      <w:r>
        <w:t xml:space="preserve"> </w:t>
      </w:r>
      <w:r>
        <w:t xml:space="preserve">“why not standard”</w:t>
      </w:r>
      <w:r>
        <w:t xml:space="preserve">?</w:t>
      </w:r>
    </w:p>
    <w:p>
      <w:pPr>
        <w:pStyle w:val="FirstParagraph"/>
      </w:pPr>
      <w:r>
        <w:t xml:space="preserve">Mindset</w:t>
      </w:r>
      <w:r>
        <w:t xml:space="preserve"> </w:t>
      </w:r>
      <w:r>
        <w:t xml:space="preserve">“why not standard”</w:t>
      </w:r>
      <w:r>
        <w:t xml:space="preserve"> </w:t>
      </w:r>
      <w:r>
        <w:t xml:space="preserve">menjadikan proses standar SAP sebagai titik awal</w:t>
      </w:r>
      <w:r>
        <w:t xml:space="preserve"> </w:t>
      </w:r>
      <w:r>
        <w:rPr>
          <w:i/>
          <w:iCs/>
        </w:rPr>
        <w:t xml:space="preserve">default</w:t>
      </w:r>
      <w:r>
        <w:t xml:space="preserve">, dan hanya membolehkan deviasi bila ada justifikasi kuat. Secara praktis, ia membalik beban pembuktian: bukan lagi</w:t>
      </w:r>
      <w:r>
        <w:t xml:space="preserve"> </w:t>
      </w:r>
      <w:r>
        <w:t xml:space="preserve">“kenapa tidak di-</w:t>
      </w:r>
      <w:r>
        <w:rPr>
          <w:i/>
          <w:iCs/>
        </w:rPr>
        <w:t xml:space="preserve">custom</w:t>
      </w:r>
      <w:r>
        <w:t xml:space="preserve">”</w:t>
      </w:r>
      <w:r>
        <w:t xml:space="preserve">, melainkan</w:t>
      </w:r>
      <w:r>
        <w:t xml:space="preserve"> </w:t>
      </w:r>
      <w:r>
        <w:t xml:space="preserve">“kenapa tidak pakai standar”</w:t>
      </w:r>
      <w:r>
        <w:t xml:space="preserve">. Dengan begitu kustomisasi menjadi pengecualian yang disengaja dan terdokumentasi, bukan refleks setiap kali muncul kebutuhan baru.</w:t>
      </w:r>
    </w:p>
    <w:bookmarkEnd w:id="27"/>
    <w:bookmarkStart w:id="28" w:name="X567a29a09fbf8c3ea864129f0d5beb47af76f4c"/>
    <w:p>
      <w:pPr>
        <w:pStyle w:val="Heading3"/>
      </w:pPr>
      <w:r>
        <w:t xml:space="preserve">Bagaimana menangani pemilik proses yang menolak standar?</w:t>
      </w:r>
    </w:p>
    <w:p>
      <w:pPr>
        <w:pStyle w:val="FirstParagraph"/>
      </w:pPr>
      <w:r>
        <w:t xml:space="preserve">Ganti debat opini dengan fakta dan biaya. Gunakan</w:t>
      </w:r>
      <w:r>
        <w:t xml:space="preserve"> </w:t>
      </w:r>
      <w:r>
        <w:rPr>
          <w:i/>
          <w:iCs/>
        </w:rPr>
        <w:t xml:space="preserve">process mining</w:t>
      </w:r>
      <w:r>
        <w:t xml:space="preserve"> </w:t>
      </w:r>
      <w:r>
        <w:t xml:space="preserve">seperti SAP Signavio untuk menunjukkan seberapa jauh proses menyimpang dari standar. Kaitkan tiap permintaan</w:t>
      </w:r>
      <w:r>
        <w:t xml:space="preserve"> </w:t>
      </w:r>
      <w:r>
        <w:rPr>
          <w:i/>
          <w:iCs/>
        </w:rPr>
        <w:t xml:space="preserve">custom</w:t>
      </w:r>
      <w:r>
        <w:t xml:space="preserve"> </w:t>
      </w:r>
      <w:r>
        <w:t xml:space="preserve">dengan biaya</w:t>
      </w:r>
      <w:r>
        <w:t xml:space="preserve"> </w:t>
      </w:r>
      <w:r>
        <w:rPr>
          <w:i/>
          <w:iCs/>
        </w:rPr>
        <w:t xml:space="preserve">maintenance</w:t>
      </w:r>
      <w:r>
        <w:t xml:space="preserve"> </w:t>
      </w:r>
      <w:r>
        <w:t xml:space="preserve">berulang dan risiko</w:t>
      </w:r>
      <w:r>
        <w:t xml:space="preserve"> </w:t>
      </w:r>
      <w:r>
        <w:rPr>
          <w:i/>
          <w:iCs/>
        </w:rPr>
        <w:t xml:space="preserve">upgrade</w:t>
      </w:r>
      <w:r>
        <w:t xml:space="preserve">, bukan biaya sekali. Sesuaikan pesan per audiens, sertakan sponsor eksekutif, lalu dokumentasikan keputusannya.</w:t>
      </w:r>
    </w:p>
    <w:bookmarkEnd w:id="28"/>
    <w:bookmarkStart w:id="29" w:name="Xb9c934f871ad350089858dbf85712819f7462b7"/>
    <w:p>
      <w:pPr>
        <w:pStyle w:val="Heading3"/>
      </w:pPr>
      <w:r>
        <w:t xml:space="preserve">Kapan menyimpang dari standar SAP dibenarkan?</w:t>
      </w:r>
    </w:p>
    <w:p>
      <w:pPr>
        <w:pStyle w:val="FirstParagraph"/>
      </w:pPr>
      <w:r>
        <w:t xml:space="preserve">SAP membolehkan deviasi untuk tiga alasan: kepatuhan industri, kewajiban regulasi lokal, dan kapabilitas pembeda pasar yang memberi nilai bisnis terukur. Praktisi menambahkan operasi sangat terspesialisasi yang standarnya tak memadai. Kuncinya, penyimpangan harus keputusan sadar dan terdokumentasi, diwujudkan lewat ekstensi bersih (Level A/B di luar inti), bukan menyerah pada setiap permintaan atau memodifikasi inti.</w:t>
      </w:r>
    </w:p>
    <w:bookmarkEnd w:id="29"/>
    <w:bookmarkStart w:id="30" w:name="X27893c4cde9b62cc62730b004df7c5101486efc"/>
    <w:p>
      <w:pPr>
        <w:pStyle w:val="Heading3"/>
      </w:pPr>
      <w:r>
        <w:t xml:space="preserve">Apa peran change management dalam clean core?</w:t>
      </w:r>
    </w:p>
    <w:p>
      <w:pPr>
        <w:pStyle w:val="FirstParagraph"/>
      </w:pPr>
      <w:r>
        <w:rPr>
          <w:i/>
          <w:iCs/>
        </w:rPr>
        <w:t xml:space="preserve">Change management</w:t>
      </w:r>
      <w:r>
        <w:t xml:space="preserve"> </w:t>
      </w:r>
      <w:r>
        <w:t xml:space="preserve">menentukan apakah prinsip</w:t>
      </w:r>
      <w:r>
        <w:t xml:space="preserve"> </w:t>
      </w:r>
      <w:r>
        <w:rPr>
          <w:i/>
          <w:iCs/>
        </w:rPr>
        <w:t xml:space="preserve">clean core</w:t>
      </w:r>
      <w:r>
        <w:t xml:space="preserve"> </w:t>
      </w:r>
      <w:r>
        <w:t xml:space="preserve">benar-benar dijalankan atau hanya jadi slide presentasi. Perannya: menyelaraskan pemilik proses lewat komunikasi per audiens, pelatihan berbasis skenario, advokat internal, dan sponsor eksekutif di ruang keputusan. Tanpa oversight ini, praktisi mengingatkan kustomisasi perlahan merayap kembali setelah go-live.</w:t>
      </w:r>
    </w:p>
    <w:bookmarkEnd w:id="30"/>
    <w:bookmarkEnd w:id="31"/>
    <w:bookmarkStart w:id="32" w:name="kesimpulan"/>
    <w:p>
      <w:pPr>
        <w:pStyle w:val="Heading2"/>
      </w:pPr>
      <w:r>
        <w:t xml:space="preserve">Kesimpulan</w:t>
      </w:r>
    </w:p>
    <w:p>
      <w:pPr>
        <w:pStyle w:val="FirstParagraph"/>
      </w:pPr>
      <w:r>
        <w:t xml:space="preserve">Peralatan</w:t>
      </w:r>
      <w:r>
        <w:t xml:space="preserve"> </w:t>
      </w:r>
      <w:r>
        <w:rPr>
          <w:i/>
          <w:iCs/>
        </w:rPr>
        <w:t xml:space="preserve">clean core</w:t>
      </w:r>
      <w:r>
        <w:t xml:space="preserve"> </w:t>
      </w:r>
      <w:r>
        <w:t xml:space="preserve">(ABAP Cloud, SAP BTP, model</w:t>
      </w:r>
      <w:r>
        <w:t xml:space="preserve"> </w:t>
      </w:r>
      <w:r>
        <w:rPr>
          <w:i/>
          <w:iCs/>
        </w:rPr>
        <w:t xml:space="preserve">extensibility</w:t>
      </w:r>
      <w:r>
        <w:t xml:space="preserve"> </w:t>
      </w:r>
      <w:r>
        <w:t xml:space="preserve">A–D) hari ini sudah matang. Yang menentukan sukses atau gagal bukan lagi kelengkapan alat, melainkan kesediaan pemilik proses bisnis mengubah cara kerjanya, dan itu pekerjaan budaya. Kenali lima pola resistensi, ganti opini dengan data lewat</w:t>
      </w:r>
      <w:r>
        <w:t xml:space="preserve"> </w:t>
      </w:r>
      <w:r>
        <w:rPr>
          <w:i/>
          <w:iCs/>
        </w:rPr>
        <w:t xml:space="preserve">process mining</w:t>
      </w:r>
      <w:r>
        <w:t xml:space="preserve">, kaitkan tiap</w:t>
      </w:r>
      <w:r>
        <w:t xml:space="preserve"> </w:t>
      </w:r>
      <w:r>
        <w:rPr>
          <w:i/>
          <w:iCs/>
        </w:rPr>
        <w:t xml:space="preserve">custom</w:t>
      </w:r>
      <w:r>
        <w:t xml:space="preserve"> </w:t>
      </w:r>
      <w:r>
        <w:t xml:space="preserve">dengan utang jangka panjang, dan jaga agar deviasi tetap menjadi pilihan sadar lewat ekstensi bersih. Sebagai SAP Platinum Partner melalui United VARs, Soltius mendampingi perusahaan pada fase</w:t>
      </w:r>
      <w:r>
        <w:t xml:space="preserve"> </w:t>
      </w:r>
      <w:r>
        <w:rPr>
          <w:i/>
          <w:iCs/>
        </w:rPr>
        <w:t xml:space="preserve">fit-to-standard</w:t>
      </w:r>
      <w:r>
        <w:t xml:space="preserve"> </w:t>
      </w:r>
      <w:r>
        <w:t xml:space="preserve">dan adopsi pengguna, dari workshop</w:t>
      </w:r>
      <w:r>
        <w:t xml:space="preserve"> </w:t>
      </w:r>
      <w:r>
        <w:rPr>
          <w:i/>
          <w:iCs/>
        </w:rPr>
        <w:t xml:space="preserve">Business Blueprint</w:t>
      </w:r>
      <w:r>
        <w:t xml:space="preserve"> </w:t>
      </w:r>
      <w:r>
        <w:t xml:space="preserve">hingga dukungan pasca go-live, dengan fokus pada keputusan yang bisa dipertanggungjawabkan, bukan sekadar sistem yang menyala.</w:t>
      </w:r>
    </w:p>
    <w:p>
      <w:pPr>
        <w:pStyle w:val="BodyText"/>
      </w:pPr>
      <w:r>
        <w:t xml:space="preserve">Untuk mendiskusikan kesiapan</w:t>
      </w:r>
      <w:r>
        <w:t xml:space="preserve"> </w:t>
      </w:r>
      <w:r>
        <w:rPr>
          <w:i/>
          <w:iCs/>
        </w:rPr>
        <w:t xml:space="preserve">fit-to-standard</w:t>
      </w:r>
      <w:r>
        <w:t xml:space="preserve"> </w:t>
      </w:r>
      <w:r>
        <w:t xml:space="preserve">dan</w:t>
      </w:r>
      <w:r>
        <w:t xml:space="preserve"> </w:t>
      </w:r>
      <w:r>
        <w:rPr>
          <w:i/>
          <w:iCs/>
        </w:rPr>
        <w:t xml:space="preserve">change management</w:t>
      </w:r>
      <w:r>
        <w:t xml:space="preserve"> </w:t>
      </w:r>
      <w:r>
        <w:t xml:space="preserve">SAP di perusahaan Anda, kunjungi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19"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19"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2026-07-08T03:28:49Z</dcterms:created>
  <dcterms:modified xsi:type="dcterms:W3CDTF">2026-07-08T03:28:49Z</dcterms:modified>
</cp:coreProperties>
</file>

<file path=docProps/custom.xml><?xml version="1.0" encoding="utf-8"?>
<Properties xmlns="http://schemas.openxmlformats.org/officeDocument/2006/custom-properties" xmlns:vt="http://schemas.openxmlformats.org/officeDocument/2006/docPropsVTypes"/>
</file>