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"Menghitung ROI Warehouse Management System: Biaya Tersembunyi Gudang vs Investasi WMS"</w:t>
      </w:r>
      <w:r>
        <w:br/>
      </w:r>
      <w:r>
        <w:rPr>
          <w:rStyle w:val="FunctionTok"/>
        </w:rPr>
        <w:t xml:space="preserve">meta_title</w:t>
      </w:r>
      <w:r>
        <w:rPr>
          <w:rStyle w:val="KeywordTok"/>
        </w:rPr>
        <w:t xml:space="preserve">:</w:t>
      </w:r>
      <w:r>
        <w:rPr>
          <w:rStyle w:val="AttributeTok"/>
        </w:rPr>
        <w:t xml:space="preserve"> </w:t>
      </w:r>
      <w:r>
        <w:rPr>
          <w:rStyle w:val="StringTok"/>
        </w:rPr>
        <w:t xml:space="preserve">"ROI Warehouse Management System: Cara Hitung &amp; Payback"</w:t>
      </w:r>
      <w:r>
        <w:br/>
      </w:r>
      <w:r>
        <w:rPr>
          <w:rStyle w:val="FunctionTok"/>
        </w:rPr>
        <w:t xml:space="preserve">meta_description</w:t>
      </w:r>
      <w:r>
        <w:rPr>
          <w:rStyle w:val="KeywordTok"/>
        </w:rPr>
        <w:t xml:space="preserve">:</w:t>
      </w:r>
      <w:r>
        <w:rPr>
          <w:rStyle w:val="AttributeTok"/>
        </w:rPr>
        <w:t xml:space="preserve"> </w:t>
      </w:r>
      <w:r>
        <w:rPr>
          <w:rStyle w:val="StringTok"/>
        </w:rPr>
        <w:t xml:space="preserve">"Kerangka menghitung ROI warehouse management system: komponen TCO, biaya tersembunyi picking error &amp; shrinkage, rumus ROI, dan payback period yang jujur."</w:t>
      </w:r>
      <w:r>
        <w:br/>
      </w:r>
      <w:r>
        <w:rPr>
          <w:rStyle w:val="FunctionTok"/>
        </w:rPr>
        <w:t xml:space="preserve">slug</w:t>
      </w:r>
      <w:r>
        <w:rPr>
          <w:rStyle w:val="KeywordTok"/>
        </w:rPr>
        <w:t xml:space="preserve">:</w:t>
      </w:r>
      <w:r>
        <w:rPr>
          <w:rStyle w:val="AttributeTok"/>
        </w:rPr>
        <w:t xml:space="preserve"> </w:t>
      </w:r>
      <w:r>
        <w:rPr>
          <w:rStyle w:val="StringTok"/>
        </w:rPr>
        <w:t xml:space="preserve">"roi-warehouse-management-system"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"ROI warehouse management system"</w:t>
      </w:r>
      <w:r>
        <w:br/>
      </w:r>
      <w:r>
        <w:rPr>
          <w:rStyle w:val="AttributeTok"/>
        </w:rPr>
        <w:t xml:space="preserve">  </w:t>
      </w:r>
      <w:r>
        <w:rPr>
          <w:rStyle w:val="KeywordTok"/>
        </w:rPr>
        <w:t xml:space="preserve">-</w:t>
      </w:r>
      <w:r>
        <w:rPr>
          <w:rStyle w:val="AttributeTok"/>
        </w:rPr>
        <w:t xml:space="preserve"> </w:t>
      </w:r>
      <w:r>
        <w:rPr>
          <w:rStyle w:val="StringTok"/>
        </w:rPr>
        <w:t xml:space="preserve">"biaya implementasi WMS"</w:t>
      </w:r>
      <w:r>
        <w:br/>
      </w:r>
      <w:r>
        <w:rPr>
          <w:rStyle w:val="AttributeTok"/>
        </w:rPr>
        <w:t xml:space="preserve">  </w:t>
      </w:r>
      <w:r>
        <w:rPr>
          <w:rStyle w:val="KeywordTok"/>
        </w:rPr>
        <w:t xml:space="preserve">-</w:t>
      </w:r>
      <w:r>
        <w:rPr>
          <w:rStyle w:val="AttributeTok"/>
        </w:rPr>
        <w:t xml:space="preserve"> </w:t>
      </w:r>
      <w:r>
        <w:rPr>
          <w:rStyle w:val="StringTok"/>
        </w:rPr>
        <w:t xml:space="preserve">"TCO WMS"</w:t>
      </w:r>
      <w:r>
        <w:br/>
      </w:r>
      <w:r>
        <w:rPr>
          <w:rStyle w:val="AttributeTok"/>
        </w:rPr>
        <w:t xml:space="preserve">  </w:t>
      </w:r>
      <w:r>
        <w:rPr>
          <w:rStyle w:val="KeywordTok"/>
        </w:rPr>
        <w:t xml:space="preserve">-</w:t>
      </w:r>
      <w:r>
        <w:rPr>
          <w:rStyle w:val="AttributeTok"/>
        </w:rPr>
        <w:t xml:space="preserve"> </w:t>
      </w:r>
      <w:r>
        <w:rPr>
          <w:rStyle w:val="StringTok"/>
        </w:rPr>
        <w:t xml:space="preserve">"payback period WMS"</w:t>
      </w:r>
      <w:r>
        <w:br/>
      </w:r>
      <w:r>
        <w:rPr>
          <w:rStyle w:val="AttributeTok"/>
        </w:rPr>
        <w:t xml:space="preserve">  </w:t>
      </w:r>
      <w:r>
        <w:rPr>
          <w:rStyle w:val="KeywordTok"/>
        </w:rPr>
        <w:t xml:space="preserve">-</w:t>
      </w:r>
      <w:r>
        <w:rPr>
          <w:rStyle w:val="AttributeTok"/>
        </w:rPr>
        <w:t xml:space="preserve"> </w:t>
      </w:r>
      <w:r>
        <w:rPr>
          <w:rStyle w:val="StringTok"/>
        </w:rPr>
        <w:t xml:space="preserve">"biaya picking error"</w:t>
      </w:r>
      <w:r>
        <w:br/>
      </w:r>
      <w:r>
        <w:rPr>
          <w:rStyle w:val="AttributeTok"/>
        </w:rPr>
        <w:t xml:space="preserve">  </w:t>
      </w:r>
      <w:r>
        <w:rPr>
          <w:rStyle w:val="KeywordTok"/>
        </w:rPr>
        <w:t xml:space="preserve">-</w:t>
      </w:r>
      <w:r>
        <w:rPr>
          <w:rStyle w:val="AttributeTok"/>
        </w:rPr>
        <w:t xml:space="preserve"> </w:t>
      </w:r>
      <w:r>
        <w:rPr>
          <w:rStyle w:val="StringTok"/>
        </w:rPr>
        <w:t xml:space="preserve">"inventory shrinkage"</w:t>
      </w:r>
      <w:r>
        <w:br/>
      </w:r>
      <w:r>
        <w:rPr>
          <w:rStyle w:val="AttributeTok"/>
        </w:rPr>
        <w:t xml:space="preserve">  </w:t>
      </w:r>
      <w:r>
        <w:rPr>
          <w:rStyle w:val="KeywordTok"/>
        </w:rPr>
        <w:t xml:space="preserve">-</w:t>
      </w:r>
      <w:r>
        <w:rPr>
          <w:rStyle w:val="AttributeTok"/>
        </w:rPr>
        <w:t xml:space="preserve"> </w:t>
      </w:r>
      <w:r>
        <w:rPr>
          <w:rStyle w:val="StringTok"/>
        </w:rPr>
        <w:t xml:space="preserve">"CapEx vs OpEx WMS"</w:t>
      </w:r>
      <w:r>
        <w:br/>
      </w:r>
      <w:r>
        <w:rPr>
          <w:rStyle w:val="AttributeTok"/>
        </w:rPr>
        <w:t xml:space="preserve">  </w:t>
      </w:r>
      <w:r>
        <w:rPr>
          <w:rStyle w:val="KeywordTok"/>
        </w:rPr>
        <w:t xml:space="preserve">-</w:t>
      </w:r>
      <w:r>
        <w:rPr>
          <w:rStyle w:val="AttributeTok"/>
        </w:rPr>
        <w:t xml:space="preserve"> </w:t>
      </w:r>
      <w:r>
        <w:rPr>
          <w:rStyle w:val="StringTok"/>
        </w:rPr>
        <w:t xml:space="preserve">"business case WMS"</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"akurasi inventaris"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"https://www.shipedge.com/blog/company/roi-calculation-for-oms-and-wms-software-investment"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"Rumus ROI WMS (Net Gain = labor + accuracy + inventory + space savings − biaya), benchmark ROI &gt;20%/tahun"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"https://nrf.com/research/national-retail-security-survey-2023"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"Shrinkage rata-rata 1,6% penjualan (FY2022), ~USD 112,1 miliar kerugian industri ritel 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"https://www.antaranews.com/berita/3765792/pemerintah-sebut-biaya-logistik-nasional-capai-1429-persen-dari-pdb"</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"Biaya logistik nasional Indonesia 14,29% dari PDB; target turun ke 8% (Kemenko Perekonomian via ANTARA)"</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2009</w:t>
      </w:r>
    </w:p>
    <w:p>
      <w:r>
        <w:pict>
          <v:rect style="width:0;height:1.5pt" o:hralign="center" o:hrstd="t" o:hr="t"/>
        </w:pict>
      </w:r>
    </w:p>
    <w:bookmarkEnd w:id="16"/>
    <w:bookmarkStart w:id="34" w:name="X00895898caba38fc34626b9313ecdcafc2a5ae8"/>
    <w:p>
      <w:pPr>
        <w:pStyle w:val="Heading1"/>
      </w:pPr>
      <w:r>
        <w:t xml:space="preserve">Menghitung ROI Warehouse Management System: Biaya Tersembunyi Gudang vs Investasi WMS</w:t>
      </w:r>
    </w:p>
    <w:p>
      <w:pPr>
        <w:pStyle w:val="FirstParagraph"/>
      </w:pPr>
      <w:r>
        <w:t xml:space="preserve">Angka di proposal vendor mudah dibaca: sekian rupiah untuk lisensi, sekian untuk implementasi. Yang jarang muncul di halaman mana pun adalah sisi neraca satunya, yaitu biaya yang sudah Anda bayar diam-diam tiap bulan karena gudang berjalan tanpa sistem. Retur akibat salah kirim, selisih stok yang di-write-off, lembur audit fisik menjelang tutup buku, semuanya tak pernah muncul sebagai satu baris di laporan laba rugi. Artikel ini bukan brosur</w:t>
      </w:r>
      <w:r>
        <w:t xml:space="preserve"> </w:t>
      </w:r>
      <w:r>
        <w:t xml:space="preserve">“efisiensi meningkat”</w:t>
      </w:r>
      <w:r>
        <w:t xml:space="preserve">, melainkan kerangka menghitung ROI sebuah</w:t>
      </w:r>
      <w:r>
        <w:t xml:space="preserve"> </w:t>
      </w:r>
      <w:hyperlink r:id="rId17">
        <w:r>
          <w:rPr>
            <w:rStyle w:val="Hyperlink"/>
          </w:rPr>
          <w:t xml:space="preserve">warehouse management system</w:t>
        </w:r>
      </w:hyperlink>
      <w:r>
        <w:t xml:space="preserve"> </w:t>
      </w:r>
      <w:r>
        <w:t xml:space="preserve">secara jujur, dua sisi neraca sekaligus, supaya business case Anda tahan diuji direksi.</w:t>
      </w:r>
    </w:p>
    <w:p>
      <w:pPr>
        <w:pStyle w:val="BlockText"/>
      </w:pPr>
      <w:r>
        <w:rPr>
          <w:b/>
          <w:bCs/>
        </w:rPr>
        <w:t xml:space="preserve">Ringkas:</w:t>
      </w:r>
      <w:r>
        <w:t xml:space="preserve"> </w:t>
      </w:r>
      <w:r>
        <w:t xml:space="preserve">ROI</w:t>
      </w:r>
      <w:r>
        <w:t xml:space="preserve"> </w:t>
      </w:r>
      <w:r>
        <w:rPr>
          <w:i/>
          <w:iCs/>
        </w:rPr>
        <w:t xml:space="preserve">warehouse management system</w:t>
      </w:r>
      <w:r>
        <w:t xml:space="preserve"> </w:t>
      </w:r>
      <w:r>
        <w:t xml:space="preserve">(WMS) adalah ukuran seberapa besar manfaat finansial investasi WMS dibanding biayanya, dihitung dengan rumus (manfaat tahunan − biaya) ÷ biaya × 100. TCO WMS mencakup lisensi, implementasi, integrasi, pelatihan, dan maintenance. ROI nyata muncul saat penghematan dari akurasi, tenaga kerja, dan penurunan picking error melampaui total biaya kepemilikan.</w:t>
      </w:r>
    </w:p>
    <w:p>
      <w:pPr>
        <w:pStyle w:val="FirstParagraph"/>
      </w:pPr>
      <w:r>
        <w:t xml:space="preserve">Konteksnya relevan buat pasar kita: biaya logistik nasional Indonesia disebut mencapai 14,29% dari PDB oleh Kemenko Perekonomian, jauh di atas negara maju yang kerap dikutip di kisaran 8–10% (ANTARA, Oktober 2023). Efisiensi gudang salah satu tuas untuk menurunkannya.</w:t>
      </w:r>
    </w:p>
    <w:bookmarkStart w:id="19" w:name="Xb178aac8877582c34fda0e20a4c2945c6f05322"/>
    <w:p>
      <w:pPr>
        <w:pStyle w:val="Heading2"/>
      </w:pPr>
      <w:r>
        <w:t xml:space="preserve">Apa Saja Komponen Biaya Warehouse Management System?</w:t>
      </w:r>
    </w:p>
    <w:p>
      <w:pPr>
        <w:pStyle w:val="FirstParagraph"/>
      </w:pPr>
      <w:r>
        <w:t xml:space="preserve">Biaya WMS tidak sama dengan harga lisensi.</w:t>
      </w:r>
      <w:r>
        <w:t xml:space="preserve"> </w:t>
      </w:r>
      <w:r>
        <w:rPr>
          <w:i/>
          <w:iCs/>
        </w:rPr>
        <w:t xml:space="preserve">Total Cost of Ownership</w:t>
      </w:r>
      <w:r>
        <w:t xml:space="preserve"> </w:t>
      </w:r>
      <w:r>
        <w:t xml:space="preserve">(TCO, total biaya kepemilikan) sebuah WMS mencakup lima komponen: lisensi atau langganan, implementasi dan konfigurasi, integrasi dengan ERP, pelatihan operator, serta maintenance tahunan. Mengabaikan pos di luar lisensi adalah penyebab paling umum business case meleset saat dieksekusi.</w:t>
      </w:r>
    </w:p>
    <w:p>
      <w:pPr>
        <w:pStyle w:val="BodyText"/>
      </w:pPr>
      <w:r>
        <w:t xml:space="preserve">Model deployment menentukan bentuk biayanya. WMS</w:t>
      </w:r>
      <w:r>
        <w:t xml:space="preserve"> </w:t>
      </w:r>
      <w:r>
        <w:rPr>
          <w:i/>
          <w:iCs/>
        </w:rPr>
        <w:t xml:space="preserve">on-premise</w:t>
      </w:r>
      <w:r>
        <w:t xml:space="preserve"> </w:t>
      </w:r>
      <w:r>
        <w:t xml:space="preserve">bersifat CapEx (belanja modal di muka: lisensi perpetual, server, implementasi), lalu maintenance tahunan tipikal 10–20% dari nilai lisensi. WMS</w:t>
      </w:r>
      <w:r>
        <w:t xml:space="preserve"> </w:t>
      </w:r>
      <w:r>
        <w:rPr>
          <w:i/>
          <w:iCs/>
        </w:rPr>
        <w:t xml:space="preserve">cloud</w:t>
      </w:r>
      <w:r>
        <w:t xml:space="preserve"> </w:t>
      </w:r>
      <w:r>
        <w:t xml:space="preserve">bersifat OpEx (langganan per pengguna), dengan maintenance dan update umumnya sudah termasuk. Struktur ini paralel dengan pertimbangan saat perusahaan menimbang</w:t>
      </w:r>
      <w:r>
        <w:t xml:space="preserve"> </w:t>
      </w:r>
      <w:hyperlink r:id="rId18">
        <w:r>
          <w:rPr>
            <w:rStyle w:val="Hyperlink"/>
          </w:rPr>
          <w:t xml:space="preserve">migrasi ERP ke cloud</w:t>
        </w:r>
      </w:hyperlink>
      <w:r>
        <w:t xml:space="preserve">: sama-sama keputusan tentang di mana beban biaya ditaruh.</w:t>
      </w:r>
    </w:p>
    <w:p>
      <w:pPr>
        <w:pStyle w:val="BodyText"/>
      </w:pPr>
      <w:r>
        <w:t xml:space="preserve">Sebagai rentang industri global, bukan harga Indonesia atau harga SAP, WMS cloud tipikal berkisar USD 100–500 per pengguna per bulan; lisensi on-premise USD 2.500 hingga di atas USD 200.000 per fasilitas tergantung kompleksitas (ShipHero, 2025; Descartes/Finale, diakses 2026). Angka ini estimasi global, perlu dikonversi hati-hati dan dikalibrasi ke kondisi lokal, bukan disalin mentah ke anggaran.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 biaya</w:t>
            </w:r>
          </w:p>
        </w:tc>
        <w:tc>
          <w:tcPr/>
          <w:p>
            <w:pPr>
              <w:pStyle w:val="Compact"/>
            </w:pPr>
            <w:r>
              <w:t xml:space="preserve">On-premise (CapEx)</w:t>
            </w:r>
          </w:p>
        </w:tc>
        <w:tc>
          <w:tcPr/>
          <w:p>
            <w:pPr>
              <w:pStyle w:val="Compact"/>
            </w:pPr>
            <w:r>
              <w:t xml:space="preserve">Cloud (OpEx)</w:t>
            </w:r>
          </w:p>
        </w:tc>
      </w:tr>
      <w:tr>
        <w:tc>
          <w:tcPr/>
          <w:p>
            <w:pPr>
              <w:pStyle w:val="Compact"/>
            </w:pPr>
            <w:r>
              <w:t xml:space="preserve">Model lisensi</w:t>
            </w:r>
          </w:p>
        </w:tc>
        <w:tc>
          <w:tcPr/>
          <w:p>
            <w:pPr>
              <w:pStyle w:val="Compact"/>
            </w:pPr>
            <w:r>
              <w:t xml:space="preserve">Perpetual satu kali/fasilitas</w:t>
            </w:r>
          </w:p>
        </w:tc>
        <w:tc>
          <w:tcPr/>
          <w:p>
            <w:pPr>
              <w:pStyle w:val="Compact"/>
            </w:pPr>
            <w:r>
              <w:t xml:space="preserve">Langganan per user/bulan</w:t>
            </w:r>
          </w:p>
        </w:tc>
      </w:tr>
      <w:tr>
        <w:tc>
          <w:tcPr/>
          <w:p>
            <w:pPr>
              <w:pStyle w:val="Compact"/>
            </w:pPr>
            <w:r>
              <w:t xml:space="preserve">Rentang tipikal (estimasi global)</w:t>
            </w:r>
          </w:p>
        </w:tc>
        <w:tc>
          <w:tcPr/>
          <w:p>
            <w:pPr>
              <w:pStyle w:val="Compact"/>
            </w:pPr>
            <w:r>
              <w:t xml:space="preserve">~USD 2.500 – &gt;200.000/fasilitas</w:t>
            </w:r>
          </w:p>
        </w:tc>
        <w:tc>
          <w:tcPr/>
          <w:p>
            <w:pPr>
              <w:pStyle w:val="Compact"/>
            </w:pPr>
            <w:r>
              <w:t xml:space="preserve">~USD 100–500/user/bulan</w:t>
            </w:r>
          </w:p>
        </w:tc>
      </w:tr>
      <w:tr>
        <w:tc>
          <w:tcPr/>
          <w:p>
            <w:pPr>
              <w:pStyle w:val="Compact"/>
            </w:pPr>
            <w:r>
              <w:t xml:space="preserve">Infrastruktur</w:t>
            </w:r>
          </w:p>
        </w:tc>
        <w:tc>
          <w:tcPr/>
          <w:p>
            <w:pPr>
              <w:pStyle w:val="Compact"/>
            </w:pPr>
            <w:r>
              <w:t xml:space="preserve">Server sendiri, di muka</w:t>
            </w:r>
          </w:p>
        </w:tc>
        <w:tc>
          <w:tcPr/>
          <w:p>
            <w:pPr>
              <w:pStyle w:val="Compact"/>
            </w:pPr>
            <w:r>
              <w:t xml:space="preserve">Termasuk langganan</w:t>
            </w:r>
          </w:p>
        </w:tc>
      </w:tr>
      <w:tr>
        <w:tc>
          <w:tcPr/>
          <w:p>
            <w:pPr>
              <w:pStyle w:val="Compact"/>
            </w:pPr>
            <w:r>
              <w:t xml:space="preserve">Maintenance</w:t>
            </w:r>
          </w:p>
        </w:tc>
        <w:tc>
          <w:tcPr/>
          <w:p>
            <w:pPr>
              <w:pStyle w:val="Compact"/>
            </w:pPr>
            <w:r>
              <w:t xml:space="preserve">10–20% lisensi/tahun</w:t>
            </w:r>
          </w:p>
        </w:tc>
        <w:tc>
          <w:tcPr/>
          <w:p>
            <w:pPr>
              <w:pStyle w:val="Compact"/>
            </w:pPr>
            <w:r>
              <w:t xml:space="preserve">Umumnya termasuk</w:t>
            </w:r>
          </w:p>
        </w:tc>
      </w:tr>
      <w:tr>
        <w:tc>
          <w:tcPr/>
          <w:p>
            <w:pPr>
              <w:pStyle w:val="Compact"/>
            </w:pPr>
            <w:r>
              <w:t xml:space="preserve">Biaya di muka</w:t>
            </w:r>
          </w:p>
        </w:tc>
        <w:tc>
          <w:tcPr/>
          <w:p>
            <w:pPr>
              <w:pStyle w:val="Compact"/>
            </w:pPr>
            <w:r>
              <w:t xml:space="preserve">Tinggi</w:t>
            </w:r>
          </w:p>
        </w:tc>
        <w:tc>
          <w:tcPr/>
          <w:p>
            <w:pPr>
              <w:pStyle w:val="Compact"/>
            </w:pPr>
            <w:r>
              <w:t xml:space="preserve">Rendah</w:t>
            </w:r>
          </w:p>
        </w:tc>
      </w:tr>
      <w:tr>
        <w:tc>
          <w:tcPr/>
          <w:p>
            <w:pPr>
              <w:pStyle w:val="Compact"/>
            </w:pPr>
            <w:r>
              <w:t xml:space="preserve">Payback tipikal</w:t>
            </w:r>
          </w:p>
        </w:tc>
        <w:tc>
          <w:tcPr/>
          <w:p>
            <w:pPr>
              <w:pStyle w:val="Compact"/>
            </w:pPr>
            <w:r>
              <w:t xml:space="preserve">12–24 bln (18–36 utk skala besar)</w:t>
            </w:r>
          </w:p>
        </w:tc>
        <w:tc>
          <w:tcPr/>
          <w:p>
            <w:pPr>
              <w:pStyle w:val="Compact"/>
            </w:pPr>
            <w:r>
              <w:t xml:space="preserve">6–12 bln</w:t>
            </w:r>
          </w:p>
        </w:tc>
      </w:tr>
    </w:tbl>
    <w:p>
      <w:pPr>
        <w:pStyle w:val="BodyText"/>
      </w:pPr>
      <w:r>
        <w:t xml:space="preserve">Untuk WMS kelas</w:t>
      </w:r>
      <w:r>
        <w:t xml:space="preserve"> </w:t>
      </w:r>
      <w:r>
        <w:rPr>
          <w:i/>
          <w:iCs/>
        </w:rPr>
        <w:t xml:space="preserve">enterprise</w:t>
      </w:r>
      <w:r>
        <w:t xml:space="preserve"> </w:t>
      </w:r>
      <w:r>
        <w:t xml:space="preserve">seperti</w:t>
      </w:r>
      <w:r>
        <w:t xml:space="preserve"> </w:t>
      </w:r>
      <w:r>
        <w:rPr>
          <w:b/>
          <w:bCs/>
        </w:rPr>
        <w:t xml:space="preserve">SAP Extended Warehouse Management</w:t>
      </w:r>
      <w:r>
        <w:t xml:space="preserve"> </w:t>
      </w:r>
      <w:r>
        <w:t xml:space="preserve">(SAP EWM), struktur lisensinya patut dipahami tanpa mengarang nominal. EWM</w:t>
      </w:r>
      <w:r>
        <w:t xml:space="preserve"> </w:t>
      </w:r>
      <w:r>
        <w:rPr>
          <w:i/>
          <w:iCs/>
        </w:rPr>
        <w:t xml:space="preserve">embedded</w:t>
      </w:r>
      <w:r>
        <w:t xml:space="preserve"> </w:t>
      </w:r>
      <w:r>
        <w:t xml:space="preserve">di S/4HANA hadir dalam dua edisi:</w:t>
      </w:r>
      <w:r>
        <w:t xml:space="preserve"> </w:t>
      </w:r>
      <w:r>
        <w:rPr>
          <w:b/>
          <w:bCs/>
        </w:rPr>
        <w:t xml:space="preserve">Basic</w:t>
      </w:r>
      <w:r>
        <w:t xml:space="preserve">, sudah termasuk dalam lisensi standar S/4HANA, dan</w:t>
      </w:r>
      <w:r>
        <w:t xml:space="preserve"> </w:t>
      </w:r>
      <w:r>
        <w:rPr>
          <w:b/>
          <w:bCs/>
        </w:rPr>
        <w:t xml:space="preserve">Advanced</w:t>
      </w:r>
      <w:r>
        <w:t xml:space="preserve">, butuh lisensi tambahan dan membuka fitur lanjutan seperti</w:t>
      </w:r>
      <w:r>
        <w:t xml:space="preserve"> </w:t>
      </w:r>
      <w:r>
        <w:rPr>
          <w:i/>
          <w:iCs/>
        </w:rPr>
        <w:t xml:space="preserve">labor management</w:t>
      </w:r>
      <w:r>
        <w:t xml:space="preserve"> </w:t>
      </w:r>
      <w:r>
        <w:t xml:space="preserve">dan</w:t>
      </w:r>
      <w:r>
        <w:t xml:space="preserve"> </w:t>
      </w:r>
      <w:r>
        <w:rPr>
          <w:i/>
          <w:iCs/>
        </w:rPr>
        <w:t xml:space="preserve">slotting</w:t>
      </w:r>
      <w:r>
        <w:t xml:space="preserve">. Deployment</w:t>
      </w:r>
      <w:r>
        <w:t xml:space="preserve"> </w:t>
      </w:r>
      <w:r>
        <w:rPr>
          <w:i/>
          <w:iCs/>
        </w:rPr>
        <w:t xml:space="preserve">decentralized</w:t>
      </w:r>
      <w:r>
        <w:t xml:space="preserve"> </w:t>
      </w:r>
      <w:r>
        <w:t xml:space="preserve">selalu memerlukan Advanced, dan biaya spesifik SAP bersifat kuotasi. Sebagai catatan kredibilitas kategori, SAP disebut Leader dalam Gartner Magic Quadrant for WMS beberapa tahun berturut-turut hingga 2026 (news.sap.com).</w:t>
      </w:r>
    </w:p>
    <w:bookmarkEnd w:id="19"/>
    <w:bookmarkStart w:id="20" w:name="biaya-tersembunyi-gudang-tanpa-wms"/>
    <w:p>
      <w:pPr>
        <w:pStyle w:val="Heading2"/>
      </w:pPr>
      <w:r>
        <w:t xml:space="preserve">Biaya Tersembunyi Gudang Tanpa WMS</w:t>
      </w:r>
    </w:p>
    <w:p>
      <w:pPr>
        <w:pStyle w:val="FirstParagraph"/>
      </w:pPr>
      <w:r>
        <w:t xml:space="preserve">Sisi neraca yang jarang dihitung justru sering lebih besar daripada tagihan lisensi. Gudang tanpa WMS membayar biaya diam-diam dalam empat bentuk: kesalahan picking, selisih stok atau</w:t>
      </w:r>
      <w:r>
        <w:t xml:space="preserve"> </w:t>
      </w:r>
      <w:r>
        <w:rPr>
          <w:i/>
          <w:iCs/>
        </w:rPr>
        <w:t xml:space="preserve">shrinkage</w:t>
      </w:r>
      <w:r>
        <w:t xml:space="preserve">, lembur audit fisik, dan ruang yang tidak optimal. Karena tak pernah tampil sebagai satu angka di neraca, biaya ini nyaris tidak pernah masuk perhitungan investasi.</w:t>
      </w:r>
    </w:p>
    <w:p>
      <w:pPr>
        <w:pStyle w:val="BodyText"/>
      </w:pPr>
      <w:r>
        <w:t xml:space="preserve">Mulai dari</w:t>
      </w:r>
      <w:r>
        <w:t xml:space="preserve"> </w:t>
      </w:r>
      <w:r>
        <w:rPr>
          <w:i/>
          <w:iCs/>
        </w:rPr>
        <w:t xml:space="preserve">picking error</w:t>
      </w:r>
      <w:r>
        <w:t xml:space="preserve">. Sebagai estimasi industri global, biaya rata-rata satu kesalahan ambil (mis-pick) berkisar sekitar USD 30 hingga di atas USD 75 per insiden, mencakup waktu layanan pelanggan, proses retur, ongkos kirim ulang, rework, dan erosi loyalitas pelanggan (Voxware; NetSuite, diakses 2026). Pada volume tinggi dampaknya menumpuk cepat: ilustrasi vendor menyebut fasilitas dengan error rate 1% pada volume besar bisa kehilangan ratusan ribu dolar setahun untuk satu pusat distribusi. Angka ini contoh ilustratif, bukan fakta pasti gudang Anda, tetapi komponennya nyata dan bisa dihitung sendiri.</w:t>
      </w:r>
    </w:p>
    <w:p>
      <w:pPr>
        <w:pStyle w:val="BodyText"/>
      </w:pPr>
      <w:r>
        <w:rPr>
          <w:i/>
          <w:iCs/>
        </w:rPr>
        <w:t xml:space="preserve">Inventory shrinkage</w:t>
      </w:r>
      <w:r>
        <w:t xml:space="preserve"> </w:t>
      </w:r>
      <w:r>
        <w:t xml:space="preserve">(susut persediaan) adalah komponen kedua, dan sering dikira sama dengan picking error padahal berbeda. Picking error adalah salah ambil atau salah kirim; shrinkage adalah selisih antara catatan sistem dan stok fisik akibat susut, hilang, atau rusak. Sebagai benchmark, National Retail Security Survey mencatat shrinkage ritel AS rata-rata 1,6% penjualan tahunan (FY2022), setara sekitar USD 112,1 miliar kerugian industri (NRF, 2023). Ini konteks ritel AS, bukan angka gudang B2B Indonesia, tetapi pesannya universal: shrinkage itu mahal dan terukur. Operasi kelas dunia menjaganya di bawah 0,2% (benchmark WERC).</w:t>
      </w:r>
    </w:p>
    <w:p>
      <w:pPr>
        <w:pStyle w:val="BodyText"/>
      </w:pPr>
      <w:r>
        <w:t xml:space="preserve">Dua komponen terakhir lebih kasat mata tapi tetap sering diabaikan. Lembur tim untuk</w:t>
      </w:r>
      <w:r>
        <w:t xml:space="preserve"> </w:t>
      </w:r>
      <w:r>
        <w:rPr>
          <w:i/>
          <w:iCs/>
        </w:rPr>
        <w:t xml:space="preserve">cycle count</w:t>
      </w:r>
      <w:r>
        <w:t xml:space="preserve"> </w:t>
      </w:r>
      <w:r>
        <w:t xml:space="preserve">manual dan audit fisik menjelang tutup buku adalah jam kerja berbayar yang menguap tiap periode. Ruang gudang yang di-</w:t>
      </w:r>
      <w:r>
        <w:rPr>
          <w:i/>
          <w:iCs/>
        </w:rPr>
        <w:t xml:space="preserve">slotting</w:t>
      </w:r>
      <w:r>
        <w:t xml:space="preserve"> </w:t>
      </w:r>
      <w:r>
        <w:t xml:space="preserve">asal-asalan memaksa perusahaan menyewa kapasitas ekstra lebih cepat dari semestinya. Berikut kedua sisi neraca itu: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Sisi investasi (biaya WMS)</w:t>
            </w:r>
          </w:p>
        </w:tc>
        <w:tc>
          <w:tcPr/>
          <w:p>
            <w:pPr>
              <w:pStyle w:val="Compact"/>
            </w:pPr>
            <w:r>
              <w:t xml:space="preserve">Sisi biaya diam-diam (tanpa WMS)</w:t>
            </w:r>
          </w:p>
        </w:tc>
      </w:tr>
      <w:tr>
        <w:tc>
          <w:tcPr/>
          <w:p>
            <w:pPr>
              <w:pStyle w:val="Compact"/>
            </w:pPr>
            <w:r>
              <w:t xml:space="preserve">Lisensi/langganan</w:t>
            </w:r>
          </w:p>
        </w:tc>
        <w:tc>
          <w:tcPr/>
          <w:p>
            <w:pPr>
              <w:pStyle w:val="Compact"/>
            </w:pPr>
            <w:r>
              <w:t xml:space="preserve">Biaya picking error (~USD 30–75+/insiden, estimasi)</w:t>
            </w:r>
          </w:p>
        </w:tc>
      </w:tr>
      <w:tr>
        <w:tc>
          <w:tcPr/>
          <w:p>
            <w:pPr>
              <w:pStyle w:val="Compact"/>
            </w:pPr>
            <w:r>
              <w:t xml:space="preserve">Implementasi &amp; integrasi</w:t>
            </w:r>
          </w:p>
        </w:tc>
        <w:tc>
          <w:tcPr/>
          <w:p>
            <w:pPr>
              <w:pStyle w:val="Compact"/>
            </w:pPr>
            <w:r>
              <w:t xml:space="preserve">Shrinkage (benchmark ritel ~1,6%; kelas dunia &lt;0,2%)</w:t>
            </w:r>
          </w:p>
        </w:tc>
      </w:tr>
      <w:tr>
        <w:tc>
          <w:tcPr/>
          <w:p>
            <w:pPr>
              <w:pStyle w:val="Compact"/>
            </w:pPr>
            <w:r>
              <w:t xml:space="preserve">Pelatihan &amp; change management</w:t>
            </w:r>
          </w:p>
        </w:tc>
        <w:tc>
          <w:tcPr/>
          <w:p>
            <w:pPr>
              <w:pStyle w:val="Compact"/>
            </w:pPr>
            <w:r>
              <w:t xml:space="preserve">Lembur audit fisik &amp; cycle count manual</w:t>
            </w:r>
          </w:p>
        </w:tc>
      </w:tr>
      <w:tr>
        <w:tc>
          <w:tcPr/>
          <w:p>
            <w:pPr>
              <w:pStyle w:val="Compact"/>
            </w:pPr>
            <w:r>
              <w:t xml:space="preserve">Maintenance tahunan</w:t>
            </w:r>
          </w:p>
        </w:tc>
        <w:tc>
          <w:tcPr/>
          <w:p>
            <w:pPr>
              <w:pStyle w:val="Compact"/>
            </w:pPr>
            <w:r>
              <w:t xml:space="preserve">Ruang gudang tidak optimal (slotting buruk)</w:t>
            </w:r>
          </w:p>
        </w:tc>
      </w:tr>
      <w:tr>
        <w:tc>
          <w:tcPr/>
          <w:p>
            <w:pPr>
              <w:pStyle w:val="Compact"/>
            </w:pPr>
            <w:r>
              <w:t xml:space="preserve">Kontingensi/adopsi</w:t>
            </w:r>
          </w:p>
        </w:tc>
        <w:tc>
          <w:tcPr/>
          <w:p>
            <w:pPr>
              <w:pStyle w:val="Compact"/>
            </w:pPr>
            <w:r>
              <w:t xml:space="preserve">Retur, rework, churn akibat salah kirim</w:t>
            </w:r>
          </w:p>
        </w:tc>
      </w:tr>
    </w:tbl>
    <w:bookmarkEnd w:id="20"/>
    <w:bookmarkStart w:id="21" w:name="X8a7812c2cd89df4c1e104abdc3e89b3956a2140"/>
    <w:p>
      <w:pPr>
        <w:pStyle w:val="Heading2"/>
      </w:pPr>
      <w:r>
        <w:t xml:space="preserve">Bagaimana Cara Menghitung ROI dan Payback Period WMS?</w:t>
      </w:r>
    </w:p>
    <w:p>
      <w:pPr>
        <w:pStyle w:val="FirstParagraph"/>
      </w:pPr>
      <w:r>
        <w:t xml:space="preserve">Rumusnya sederhana dan berlaku universal: ROI (%) = (manfaat tahunan − total biaya) ÷ total biaya × 100.</w:t>
      </w:r>
      <w:r>
        <w:t xml:space="preserve"> </w:t>
      </w:r>
      <w:r>
        <w:rPr>
          <w:i/>
          <w:iCs/>
        </w:rPr>
        <w:t xml:space="preserve">Payback period</w:t>
      </w:r>
      <w:r>
        <w:t xml:space="preserve"> </w:t>
      </w:r>
      <w:r>
        <w:t xml:space="preserve">dihitung sebagai investasi awal dibagi penghematan bersih tahunan. Manfaat WMS berasal dari empat sumber: penghematan tenaga kerja, kenaikan akurasi, pengurangan shrinkage, dan optimasi ruang. Kunci kalkulasi jujur adalah menghitung kedua sisi, termasuk biaya diam-diam tanpa WMS.</w:t>
      </w:r>
    </w:p>
    <w:p>
      <w:pPr>
        <w:pStyle w:val="BodyText"/>
      </w:pPr>
      <w:r>
        <w:t xml:space="preserve">Contoh ilustratif, bukan janji: investasi USD 100.000 dengan penghematan bersih USD 50.000 per tahun menghasilkan ROI 50% per tahun (Logiwa). Di sektor logistik, ROI tahunan di atas 20% umumnya dianggap baik (Shipedge). Angka yang Anda masukkan harus berasal dari data gudang sendiri.</w:t>
      </w:r>
    </w:p>
    <w:p>
      <w:pPr>
        <w:pStyle w:val="BodyText"/>
      </w:pPr>
      <w:r>
        <w:t xml:space="preserve">Soal payback, sebagai rentang industri dan bukan janji, WMS tipikal balik modal dalam 12–24 bulan. WMS cloud cenderung lebih cepat (sekitar 6–12 bulan) karena biaya awalnya rendah, sedangkan implementasi on-premise atau operasi besar bisa memakan 18–36 bulan bila semua faktor dihitung penuh (Logiwa; Davanti WICS). Yang menentukan payback nyata bukan angka di brosur, melainkan volume order, tingkat kesalahan awal, dan disiplin adopsi operator di lapangan.</w:t>
      </w:r>
    </w:p>
    <w:bookmarkEnd w:id="21"/>
    <w:bookmarkStart w:id="23" w:name="X7bcfc43800e947412bf9d61ac40b55be509abca"/>
    <w:p>
      <w:pPr>
        <w:pStyle w:val="Heading2"/>
      </w:pPr>
      <w:r>
        <w:t xml:space="preserve">Kerangka Business Case: Menerjemahkan Efisiensi Menjadi Angka</w:t>
      </w:r>
    </w:p>
    <w:p>
      <w:pPr>
        <w:pStyle w:val="FirstParagraph"/>
      </w:pPr>
      <w:r>
        <w:t xml:space="preserve">Business case yang meyakinkan menerjemahkan tiap klaim</w:t>
      </w:r>
      <w:r>
        <w:t xml:space="preserve"> </w:t>
      </w:r>
      <w:r>
        <w:t xml:space="preserve">“efisiensi meningkat”</w:t>
      </w:r>
      <w:r>
        <w:t xml:space="preserve"> </w:t>
      </w:r>
      <w:r>
        <w:t xml:space="preserve">menjadi rupiah yang bisa diaudit: petakan tiap sumber manfaat ke metrik terukur, lalu ke nilai finansial. Tanpa langkah ini, ROI hanya jadi janji kualitatif yang gugur di ruang rapat direksi.</w:t>
      </w:r>
    </w:p>
    <w:p>
      <w:pPr>
        <w:pStyle w:val="BodyText"/>
      </w:pPr>
      <w:r>
        <w:t xml:space="preserve">Ambil penghematan tenaga kerja, penggerak ROI terbesar. Kerangka Shipedge menghitungnya sebagai (jam kerja saat ini − jam proyeksi) × tarif per jam, dengan potensi penghematan labor di rentang industri 25–40%. Untuk akurasi, hitung (pengurangan mis-ship per tahun) × biaya rata-rata per error. Studi implementasi barcode-WMS melaporkan akurasi inventaris naik dari level manual hingga 99% ke atas, dan akurasi picking kelas terbaik menembus 99,89% (WERC; IJRISS). Perlakukan angka ini sebagai rentang benchmark, bukan jaminan hasil.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Sumber manfaat</w:t>
            </w:r>
          </w:p>
        </w:tc>
        <w:tc>
          <w:tcPr/>
          <w:p>
            <w:pPr>
              <w:pStyle w:val="Compact"/>
            </w:pPr>
            <w:r>
              <w:t xml:space="preserve">Metrik</w:t>
            </w:r>
          </w:p>
        </w:tc>
        <w:tc>
          <w:tcPr/>
          <w:p>
            <w:pPr>
              <w:pStyle w:val="Compact"/>
            </w:pPr>
            <w:r>
              <w:t xml:space="preserve">Cara menerjemahkan ke rupiah</w:t>
            </w:r>
          </w:p>
        </w:tc>
      </w:tr>
      <w:tr>
        <w:tc>
          <w:tcPr/>
          <w:p>
            <w:pPr>
              <w:pStyle w:val="Compact"/>
            </w:pPr>
            <w:r>
              <w:t xml:space="preserve">Akurasi inventaris ↑</w:t>
            </w:r>
          </w:p>
        </w:tc>
        <w:tc>
          <w:tcPr/>
          <w:p>
            <w:pPr>
              <w:pStyle w:val="Compact"/>
            </w:pPr>
            <w:r>
              <w:t xml:space="preserve">Inventory accuracy (target 99%+)</w:t>
            </w:r>
          </w:p>
        </w:tc>
        <w:tc>
          <w:tcPr/>
          <w:p>
            <w:pPr>
              <w:pStyle w:val="Compact"/>
            </w:pPr>
            <w:r>
              <w:t xml:space="preserve">Nilai shrinkage/write-off yang dihindari</w:t>
            </w:r>
          </w:p>
        </w:tc>
      </w:tr>
      <w:tr>
        <w:tc>
          <w:tcPr/>
          <w:p>
            <w:pPr>
              <w:pStyle w:val="Compact"/>
            </w:pPr>
            <w:r>
              <w:t xml:space="preserve">Akurasi picking ↑</w:t>
            </w:r>
          </w:p>
        </w:tc>
        <w:tc>
          <w:tcPr/>
          <w:p>
            <w:pPr>
              <w:pStyle w:val="Compact"/>
            </w:pPr>
            <w:r>
              <w:t xml:space="preserve">Order accuracy (best-in-class 99,89%+)</w:t>
            </w:r>
          </w:p>
        </w:tc>
        <w:tc>
          <w:tcPr/>
          <w:p>
            <w:pPr>
              <w:pStyle w:val="Compact"/>
            </w:pPr>
            <w:r>
              <w:t xml:space="preserve">(Pengurangan mis-pick/tahun) × biaya per error</w:t>
            </w:r>
          </w:p>
        </w:tc>
      </w:tr>
      <w:tr>
        <w:tc>
          <w:tcPr/>
          <w:p>
            <w:pPr>
              <w:pStyle w:val="Compact"/>
            </w:pPr>
            <w:r>
              <w:t xml:space="preserve">Produktivitas labor ↑</w:t>
            </w:r>
          </w:p>
        </w:tc>
        <w:tc>
          <w:tcPr/>
          <w:p>
            <w:pPr>
              <w:pStyle w:val="Compact"/>
            </w:pPr>
            <w:r>
              <w:t xml:space="preserve">Jam kerja per order</w:t>
            </w:r>
          </w:p>
        </w:tc>
        <w:tc>
          <w:tcPr/>
          <w:p>
            <w:pPr>
              <w:pStyle w:val="Compact"/>
            </w:pPr>
            <w:r>
              <w:t xml:space="preserve">(Jam saat ini − jam proyeksi) × tarif</w:t>
            </w:r>
          </w:p>
        </w:tc>
      </w:tr>
      <w:tr>
        <w:tc>
          <w:tcPr/>
          <w:p>
            <w:pPr>
              <w:pStyle w:val="Compact"/>
            </w:pPr>
            <w:r>
              <w:t xml:space="preserve">Throughput ↑</w:t>
            </w:r>
          </w:p>
        </w:tc>
        <w:tc>
          <w:tcPr/>
          <w:p>
            <w:pPr>
              <w:pStyle w:val="Compact"/>
            </w:pPr>
            <w:r>
              <w:t xml:space="preserve">Order per hari, cycle time</w:t>
            </w:r>
          </w:p>
        </w:tc>
        <w:tc>
          <w:tcPr/>
          <w:p>
            <w:pPr>
              <w:pStyle w:val="Compact"/>
            </w:pPr>
            <w:r>
              <w:t xml:space="preserve">Ekspansi/lembur yang ditunda</w:t>
            </w:r>
          </w:p>
        </w:tc>
      </w:tr>
      <w:tr>
        <w:tc>
          <w:tcPr/>
          <w:p>
            <w:pPr>
              <w:pStyle w:val="Compact"/>
            </w:pPr>
            <w:r>
              <w:t xml:space="preserve">Ruang optimal</w:t>
            </w:r>
          </w:p>
        </w:tc>
        <w:tc>
          <w:tcPr/>
          <w:p>
            <w:pPr>
              <w:pStyle w:val="Compact"/>
            </w:pPr>
            <w:r>
              <w:t xml:space="preserve">Utilisasi slotting</w:t>
            </w:r>
          </w:p>
        </w:tc>
        <w:tc>
          <w:tcPr/>
          <w:p>
            <w:pPr>
              <w:pStyle w:val="Compact"/>
            </w:pPr>
            <w:r>
              <w:t xml:space="preserve">Ekspansi gudang yang ditunda</w:t>
            </w:r>
          </w:p>
        </w:tc>
      </w:tr>
    </w:tbl>
    <w:p>
      <w:pPr>
        <w:pStyle w:val="BodyText"/>
      </w:pPr>
      <w:r>
        <w:t xml:space="preserve">Satu hal menyempurnakan kerangka ini: cara Anda mengukur manfaatnya. Angka akurasi, throughput, dan biaya per order hanya bisa dibuktikan kalau gudang punya dashboard yang membaca data operasional secara berkelanjutan. Di sinilah kapabilitas</w:t>
      </w:r>
      <w:r>
        <w:t xml:space="preserve"> </w:t>
      </w:r>
      <w:hyperlink r:id="rId22">
        <w:r>
          <w:rPr>
            <w:rStyle w:val="Hyperlink"/>
          </w:rPr>
          <w:t xml:space="preserve">business intelligence</w:t>
        </w:r>
      </w:hyperlink>
      <w:r>
        <w:t xml:space="preserve"> </w:t>
      </w:r>
      <w:r>
        <w:t xml:space="preserve">berperan, mengubah klaim penghematan menjadi tren terverifikasi dari waktu ke waktu, bukan sekadar proyeksi di slide.</w:t>
      </w:r>
    </w:p>
    <w:bookmarkEnd w:id="23"/>
    <w:bookmarkStart w:id="24" w:name="X79b359eb6181d0807e668a92a1a29dc712faed4"/>
    <w:p>
      <w:pPr>
        <w:pStyle w:val="Heading2"/>
      </w:pPr>
      <w:r>
        <w:t xml:space="preserve">Kapan ROI WMS Tidak Terwujud, dan Cara Menghindarinya</w:t>
      </w:r>
    </w:p>
    <w:p>
      <w:pPr>
        <w:pStyle w:val="FirstParagraph"/>
      </w:pPr>
      <w:r>
        <w:t xml:space="preserve">Bagian ini jarang ditulis vendor, padahal di sinilah kejujuran membangun kepercayaan. ROI WMS bisa gagal terwujud, dan penyebabnya jarang teknologi. Empat pola paling sering:</w:t>
      </w:r>
      <w:r>
        <w:t xml:space="preserve"> </w:t>
      </w:r>
      <w:r>
        <w:rPr>
          <w:i/>
          <w:iCs/>
        </w:rPr>
        <w:t xml:space="preserve">over-customization</w:t>
      </w:r>
      <w:r>
        <w:t xml:space="preserve"> </w:t>
      </w:r>
      <w:r>
        <w:t xml:space="preserve">yang membengkakkan biaya dan mempersulit upgrade, adopsi operator yang gagal, ekspektasi payback tidak realistis, dan WMS yang terlalu besar untuk skala gudang.</w:t>
      </w:r>
    </w:p>
    <w:p>
      <w:pPr>
        <w:pStyle w:val="BodyText"/>
      </w:pPr>
      <w:r>
        <w:t xml:space="preserve">Untuk gudang kecil dengan proses sederhana, sistem penuh sering kali berlebihan. Langkah pertama yang lebih tepat biasanya membenahi proses dan memaksimalkan modul</w:t>
      </w:r>
      <w:r>
        <w:t xml:space="preserve"> </w:t>
      </w:r>
      <w:r>
        <w:rPr>
          <w:i/>
          <w:iCs/>
        </w:rPr>
        <w:t xml:space="preserve">inventory</w:t>
      </w:r>
      <w:r>
        <w:t xml:space="preserve"> </w:t>
      </w:r>
      <w:r>
        <w:t xml:space="preserve">pada ERP yang sudah ada, sebelum berinvestasi pada WMS khusus. Membeli sistem canggih untuk menutupi proses berantakan hanya mengkodekan kekacauan itu, dengan biaya lebih mahal.</w:t>
      </w:r>
    </w:p>
    <w:p>
      <w:pPr>
        <w:pStyle w:val="BodyText"/>
      </w:pPr>
      <w:r>
        <w:t xml:space="preserve">Business case yang jujur mengakui satu kebenaran yang tidak ada di brosur: manfaat bersih adalah penghematan optimis dikurangi biaya adopsi dan kontingensi. Kurva belajar operator, gangguan produktivitas saat transisi, dan risiko payback yang meleset harus masuk hitungan. Sebagai SAP Platinum Partner melalui United VARs, Soltius mendampingi perusahaan menyusun business case realistis semacam ini, mencantumkan biaya adopsi dan kontingensi, bukan hanya penghematan optimis.</w:t>
      </w:r>
    </w:p>
    <w:bookmarkEnd w:id="24"/>
    <w:bookmarkStart w:id="32" w:name="faq-pertanyaan-yang-sering-diajukan"/>
    <w:p>
      <w:pPr>
        <w:pStyle w:val="Heading2"/>
      </w:pPr>
      <w:r>
        <w:t xml:space="preserve">FAQ (Pertanyaan yang Sering Diajukan)</w:t>
      </w:r>
    </w:p>
    <w:bookmarkStart w:id="25" w:name="berapa-biaya-implementasi-wms"/>
    <w:p>
      <w:pPr>
        <w:pStyle w:val="Heading3"/>
      </w:pPr>
      <w:r>
        <w:t xml:space="preserve">Berapa biaya implementasi WMS?</w:t>
      </w:r>
    </w:p>
    <w:p>
      <w:pPr>
        <w:pStyle w:val="FirstParagraph"/>
      </w:pPr>
      <w:r>
        <w:t xml:space="preserve">Biaya implementasi WMS bervariasi menurut skala dan model deployment. Sebagai rentang industri global (bukan harga Indonesia), WMS cloud tipikal berkisar USD 100–500 per pengguna per bulan, sedangkan lisensi on-premise satu kali USD 2.500 hingga di atas USD 200.000 per fasilitas, ditambah maintenance tahunan sekitar 10–20% dari nilai lisensi. Di luar lisensi, hitung juga integrasi ERP, pelatihan, dan change management. Untuk SAP EWM, biaya spesifik bersifat kuotasi.</w:t>
      </w:r>
    </w:p>
    <w:bookmarkEnd w:id="25"/>
    <w:bookmarkStart w:id="26" w:name="berapa-lama-payback-period-wms"/>
    <w:p>
      <w:pPr>
        <w:pStyle w:val="Heading3"/>
      </w:pPr>
      <w:r>
        <w:t xml:space="preserve">Berapa lama payback period WMS?</w:t>
      </w:r>
    </w:p>
    <w:p>
      <w:pPr>
        <w:pStyle w:val="FirstParagraph"/>
      </w:pPr>
      <w:r>
        <w:t xml:space="preserve">Sebagai rentang industri, bukan janji, payback period WMS umumnya 12–24 bulan. WMS cloud cenderung lebih cepat (sekitar 6–12 bulan) karena biaya awal rendah, sedangkan implementasi on-premise atau operasi besar bisa 18–36 bulan bila semua faktor dihitung. Payback nyata bergantung pada volume order, tingkat kesalahan awal, dan disiplin adopsi operator. Rumus praktisnya: investasi awal dibagi penghematan bersih tahunan.</w:t>
      </w:r>
    </w:p>
    <w:bookmarkEnd w:id="26"/>
    <w:bookmarkStart w:id="27" w:name="apa-saja-komponen-tco-wms"/>
    <w:p>
      <w:pPr>
        <w:pStyle w:val="Heading3"/>
      </w:pPr>
      <w:r>
        <w:t xml:space="preserve">Apa saja komponen TCO WMS?</w:t>
      </w:r>
    </w:p>
    <w:p>
      <w:pPr>
        <w:pStyle w:val="FirstParagraph"/>
      </w:pPr>
      <w:r>
        <w:t xml:space="preserve">TCO (</w:t>
      </w:r>
      <w:r>
        <w:rPr>
          <w:i/>
          <w:iCs/>
        </w:rPr>
        <w:t xml:space="preserve">Total Cost of Ownership</w:t>
      </w:r>
      <w:r>
        <w:t xml:space="preserve">) WMS mencakup jauh lebih banyak daripada lisensi: (1) lisensi atau langganan, (2) implementasi dan konfigurasi, (3) integrasi dengan ERP dan sistem lain, (4) pelatihan operator serta change management, dan (5) maintenance tahunan (untuk on-premise tipikal 10–20% dari lisensi awal). On-premise berat di CapEx, cloud bersifat OpEx. Mengabaikan komponen non-lisensi adalah penyebab umum business case meleset.</w:t>
      </w:r>
    </w:p>
    <w:bookmarkEnd w:id="27"/>
    <w:bookmarkStart w:id="28" w:name="bagaimana-cara-menghitung-roi-wms"/>
    <w:p>
      <w:pPr>
        <w:pStyle w:val="Heading3"/>
      </w:pPr>
      <w:r>
        <w:t xml:space="preserve">Bagaimana cara menghitung ROI WMS?</w:t>
      </w:r>
    </w:p>
    <w:p>
      <w:pPr>
        <w:pStyle w:val="FirstParagraph"/>
      </w:pPr>
      <w:r>
        <w:t xml:space="preserve">Rumus dasarnya: ROI (%) = (manfaat tahunan − total biaya) ÷ total biaya × 100. Manfaat WMS berasal dari penghematan tenaga kerja, kenaikan akurasi (mengurangi retur akibat salah kirim), pengurangan selisih stok, dan optimasi ruang. Contoh ilustratif (bukan janji): investasi USD 100.000 dengan penghematan USD 50.000 per tahun menghasilkan ROI 50% per tahun. Di logistik, ROI tahunan di atas 20% umumnya dianggap baik.</w:t>
      </w:r>
    </w:p>
    <w:bookmarkEnd w:id="28"/>
    <w:bookmarkStart w:id="29" w:name="berapa-kerugian-akibat-picking-error"/>
    <w:p>
      <w:pPr>
        <w:pStyle w:val="Heading3"/>
      </w:pPr>
      <w:r>
        <w:t xml:space="preserve">Berapa kerugian akibat picking error?</w:t>
      </w:r>
    </w:p>
    <w:p>
      <w:pPr>
        <w:pStyle w:val="FirstParagraph"/>
      </w:pPr>
      <w:r>
        <w:t xml:space="preserve">Sebagai estimasi industri global, biaya rata-rata satu kesalahan picking berkisar sekitar USD 30 hingga di atas USD 75 per insiden, mencakup layanan pelanggan, proses retur, ongkos kirim ulang, rework, serta erosi loyalitas pelanggan. Pada volume tinggi, dampaknya menumpuk: bahkan error rate 1% bisa berarti kerugian ratusan ribu dolar per tahun untuk satu pusat distribusi besar. Angka ini ilustratif; nilainya bergantung pada harga produk dan struktur biaya operasi Anda.</w:t>
      </w:r>
    </w:p>
    <w:bookmarkEnd w:id="29"/>
    <w:bookmarkStart w:id="30" w:name="X90cf71df36673840517eb7e47cb683284fa34a6"/>
    <w:p>
      <w:pPr>
        <w:pStyle w:val="Heading3"/>
      </w:pPr>
      <w:r>
        <w:t xml:space="preserve">Apakah WMS cloud lebih murah dari on-premise?</w:t>
      </w:r>
    </w:p>
    <w:p>
      <w:pPr>
        <w:pStyle w:val="FirstParagraph"/>
      </w:pPr>
      <w:r>
        <w:t xml:space="preserve">Tidak selalu, tergantung horizon waktu. WMS cloud berbasis langganan (OpEx) sehingga biaya awalnya rendah dan payback bisa lebih cepat (sekitar 6–12 bulan), dengan maintenance dan update biasanya sudah termasuk. WMS on-premise butuh belanja modal besar di muka (CapEx: lisensi + infrastruktur) plus maintenance 10–20% per tahun, tetapi pada horizon panjang dan skala besar total biayanya bisa lebih kompetitif. Keputusannya bukan mana lebih murah, melainkan mana yang paling sesuai dengan profil arus kas dan strategi TI Anda.</w:t>
      </w:r>
    </w:p>
    <w:bookmarkEnd w:id="30"/>
    <w:bookmarkStart w:id="31" w:name="apakah-wms-layak-untuk-gudang-kecil"/>
    <w:p>
      <w:pPr>
        <w:pStyle w:val="Heading3"/>
      </w:pPr>
      <w:r>
        <w:t xml:space="preserve">Apakah WMS layak untuk gudang kecil?</w:t>
      </w:r>
    </w:p>
    <w:p>
      <w:pPr>
        <w:pStyle w:val="FirstParagraph"/>
      </w:pPr>
      <w:r>
        <w:t xml:space="preserve">Belum tentu. WMS penuh paling menguntungkan saat volume, jumlah SKU, dan kompleksitas sudah tinggi, ketika penghematan dari akurasi dan efisiensi tenaga kerja melampaui biaya. Untuk gudang kecil dengan proses sederhana, ROI bisa gagal terwujud akibat over-customization, adopsi yang lemah, atau sistem yang terlalu besar. Sering kali langkah pertama yang lebih tepat adalah membenahi proses dan memaksimalkan modul inventory pada ERP yang sudah ada.</w:t>
      </w:r>
    </w:p>
    <w:bookmarkEnd w:id="31"/>
    <w:bookmarkEnd w:id="32"/>
    <w:bookmarkStart w:id="33" w:name="kesimpulan"/>
    <w:p>
      <w:pPr>
        <w:pStyle w:val="Heading2"/>
      </w:pPr>
      <w:r>
        <w:t xml:space="preserve">Kesimpulan</w:t>
      </w:r>
    </w:p>
    <w:p>
      <w:pPr>
        <w:pStyle w:val="FirstParagraph"/>
      </w:pPr>
      <w:r>
        <w:t xml:space="preserve">Investasi WMS layak dipertimbangkan bukan karena vendor menjanjikan efisiensi, melainkan karena Anda sudah mengukur biaya diam-diam yang selama ini dibayar gudang tanpa sistem, lalu menimbangnya dengan biaya kepemilikan yang jujur. ROI yang meyakinkan berdiri di atas dua sisi neraca dan angka yang bisa diaudit. Di lapangan, payback nyata ditentukan disiplin adopsi, bukan brosur. Sebagai SAP Platinum Partner melalui United VARs, Soltius mendampingi perusahaan menyusun business case yang realistis, mengimplementasikan dan memigrasikan SAP EWM, hingga mendukungnya pasca go-live lewat Application Management Services.</w:t>
      </w:r>
    </w:p>
    <w:p>
      <w:pPr>
        <w:pStyle w:val="BodyText"/>
      </w:pPr>
      <w:r>
        <w:t xml:space="preserve">Untuk mendiskusikan business case WMS 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18"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18"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2026-07-08T03:28:50Z</dcterms:created>
  <dcterms:modified xsi:type="dcterms:W3CDTF">2026-07-08T03:28:50Z</dcterms:modified>
</cp:coreProperties>
</file>

<file path=docProps/custom.xml><?xml version="1.0" encoding="utf-8"?>
<Properties xmlns="http://schemas.openxmlformats.org/officeDocument/2006/custom-properties" xmlns:vt="http://schemas.openxmlformats.org/officeDocument/2006/docPropsVTypes"/>
</file>