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"Business Intelligence untuk Laporan Keberlanjutan (ESG): Dari Data Tersebar ke Laporan yang Diaudit"</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untuk Laporan ESG yang Diaudit"</w:t>
      </w:r>
      <w:r>
        <w:br/>
      </w:r>
      <w:r>
        <w:rPr>
          <w:rStyle w:val="FunctionTok"/>
        </w:rPr>
        <w:t xml:space="preserve">meta_description</w:t>
      </w:r>
      <w:r>
        <w:rPr>
          <w:rStyle w:val="KeywordTok"/>
        </w:rPr>
        <w:t xml:space="preserve">:</w:t>
      </w:r>
      <w:r>
        <w:rPr>
          <w:rStyle w:val="AttributeTok"/>
        </w:rPr>
        <w:t xml:space="preserve"> </w:t>
      </w:r>
      <w:r>
        <w:rPr>
          <w:rStyle w:val="StringTok"/>
        </w:rPr>
        <w:t xml:space="preserve">"Business Intelligence mengubah data ESG yang tersebar menjadi laporan keberlanjutan yang konsisten dan dapat diaudit sesuai POJK 51 dan SPK efektif 2027."</w:t>
      </w:r>
      <w:r>
        <w:br/>
      </w:r>
      <w:r>
        <w:rPr>
          <w:rStyle w:val="FunctionTok"/>
        </w:rPr>
        <w:t xml:space="preserve">slug</w:t>
      </w:r>
      <w:r>
        <w:rPr>
          <w:rStyle w:val="KeywordTok"/>
        </w:rPr>
        <w:t xml:space="preserve">:</w:t>
      </w:r>
      <w:r>
        <w:rPr>
          <w:rStyle w:val="AttributeTok"/>
        </w:rPr>
        <w:t xml:space="preserve"> </w:t>
      </w:r>
      <w:r>
        <w:rPr>
          <w:rStyle w:val="StringTok"/>
        </w:rPr>
        <w:t xml:space="preserve">"business-intelligence-laporan-esg-yang-diaudit"</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"laporan keberlanjutan"</w:t>
      </w:r>
      <w:r>
        <w:br/>
      </w:r>
      <w:r>
        <w:rPr>
          <w:rStyle w:val="AttributeTok"/>
        </w:rPr>
        <w:t xml:space="preserve">  </w:t>
      </w:r>
      <w:r>
        <w:rPr>
          <w:rStyle w:val="KeywordTok"/>
        </w:rPr>
        <w:t xml:space="preserve">-</w:t>
      </w:r>
      <w:r>
        <w:rPr>
          <w:rStyle w:val="AttributeTok"/>
        </w:rPr>
        <w:t xml:space="preserve"> </w:t>
      </w:r>
      <w:r>
        <w:rPr>
          <w:rStyle w:val="StringTok"/>
        </w:rPr>
        <w:t xml:space="preserve">"pelaporan ESG"</w:t>
      </w:r>
      <w:r>
        <w:br/>
      </w:r>
      <w:r>
        <w:rPr>
          <w:rStyle w:val="AttributeTok"/>
        </w:rPr>
        <w:t xml:space="preserve">  </w:t>
      </w:r>
      <w:r>
        <w:rPr>
          <w:rStyle w:val="KeywordTok"/>
        </w:rPr>
        <w:t xml:space="preserve">-</w:t>
      </w:r>
      <w:r>
        <w:rPr>
          <w:rStyle w:val="AttributeTok"/>
        </w:rPr>
        <w:t xml:space="preserve"> </w:t>
      </w:r>
      <w:r>
        <w:rPr>
          <w:rStyle w:val="StringTok"/>
        </w:rPr>
        <w:t xml:space="preserve">"POJK 51"</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"dashboard ESG"</w:t>
      </w:r>
      <w:r>
        <w:br/>
      </w:r>
      <w:r>
        <w:rPr>
          <w:rStyle w:val="AttributeTok"/>
        </w:rPr>
        <w:t xml:space="preserve">  </w:t>
      </w:r>
      <w:r>
        <w:rPr>
          <w:rStyle w:val="KeywordTok"/>
        </w:rPr>
        <w:t xml:space="preserve">-</w:t>
      </w:r>
      <w:r>
        <w:rPr>
          <w:rStyle w:val="AttributeTok"/>
        </w:rPr>
        <w:t xml:space="preserve"> </w:t>
      </w:r>
      <w:r>
        <w:rPr>
          <w:rStyle w:val="StringTok"/>
        </w:rPr>
        <w:t xml:space="preserve">"emisi scope 1 2 3"</w:t>
      </w:r>
      <w:r>
        <w:br/>
      </w:r>
      <w:r>
        <w:rPr>
          <w:rStyle w:val="AttributeTok"/>
        </w:rPr>
        <w:t xml:space="preserve">  </w:t>
      </w:r>
      <w:r>
        <w:rPr>
          <w:rStyle w:val="KeywordTok"/>
        </w:rPr>
        <w:t xml:space="preserve">-</w:t>
      </w:r>
      <w:r>
        <w:rPr>
          <w:rStyle w:val="AttributeTok"/>
        </w:rPr>
        <w:t xml:space="preserve"> </w:t>
      </w:r>
      <w:r>
        <w:rPr>
          <w:rStyle w:val="StringTok"/>
        </w:rPr>
        <w:t xml:space="preserve">"IFRS S1/S2 ISSB"</w:t>
      </w:r>
      <w:r>
        <w:br/>
      </w:r>
      <w:r>
        <w:rPr>
          <w:rStyle w:val="AttributeTok"/>
        </w:rPr>
        <w:t xml:space="preserve">  </w:t>
      </w:r>
      <w:r>
        <w:rPr>
          <w:rStyle w:val="KeywordTok"/>
        </w:rPr>
        <w:t xml:space="preserve">-</w:t>
      </w:r>
      <w:r>
        <w:rPr>
          <w:rStyle w:val="AttributeTok"/>
        </w:rPr>
        <w:t xml:space="preserve"> </w:t>
      </w:r>
      <w:r>
        <w:rPr>
          <w:rStyle w:val="StringTok"/>
        </w:rPr>
        <w:t xml:space="preserve">"data yang dapat diaudit"</w:t>
      </w:r>
      <w:r>
        <w:br/>
      </w:r>
      <w:r>
        <w:rPr>
          <w:rStyle w:val="AttributeTok"/>
        </w:rPr>
        <w:t xml:space="preserve">  </w:t>
      </w:r>
      <w:r>
        <w:rPr>
          <w:rStyle w:val="KeywordTok"/>
        </w:rPr>
        <w:t xml:space="preserve">-</w:t>
      </w:r>
      <w:r>
        <w:rPr>
          <w:rStyle w:val="AttributeTok"/>
        </w:rPr>
        <w:t xml:space="preserve"> </w:t>
      </w:r>
      <w:r>
        <w:rPr>
          <w:rStyle w:val="StringTok"/>
        </w:rPr>
        <w:t xml:space="preserve">"tata kelola data"</w:t>
      </w:r>
      <w:r>
        <w:br/>
      </w:r>
      <w:r>
        <w:rPr>
          <w:rStyle w:val="AttributeTok"/>
        </w:rPr>
        <w:t xml:space="preserve">  </w:t>
      </w:r>
      <w:r>
        <w:rPr>
          <w:rStyle w:val="KeywordTok"/>
        </w:rPr>
        <w:t xml:space="preserve">-</w:t>
      </w:r>
      <w:r>
        <w:rPr>
          <w:rStyle w:val="AttributeTok"/>
        </w:rPr>
        <w:t xml:space="preserve"> </w:t>
      </w:r>
      <w:r>
        <w:rPr>
          <w:rStyle w:val="StringTok"/>
        </w:rPr>
        <w:t xml:space="preserve">"SPK PSPK 2027"</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"https://www.soltius.co.id/id/blog/sistem-manajemen-vendor"</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"vendor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"low-code platform"</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"https://www.ojk.go.id/sustainable-finance/id/peraturan/peraturan-ojk/Documents/SAL%20POJK%2051%20-%20keuangan%20berkelanjutan.pdf"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"Kewajiban Laporan Keberlanjutan bagi LJK/emiten/perusahaan publik dan tenggat penyampaian 30 April"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"https://ghgprotocol.org/corporate-value-chain-scope-3-standard"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emisi scope 1/2/3, 15 kategori scope 3, dan porsi 70-90% total emisi"</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2073</w:t>
      </w:r>
    </w:p>
    <w:p>
      <w:r>
        <w:pict>
          <v:rect style="width:0;height:1.5pt" o:hralign="center" o:hrstd="t" o:hr="t"/>
        </w:pict>
      </w:r>
    </w:p>
    <w:bookmarkEnd w:id="16"/>
    <w:bookmarkStart w:id="34" w:name="Xcc8cc5631e84f122216dd47fe60f6138d486c26"/>
    <w:p>
      <w:pPr>
        <w:pStyle w:val="Heading1"/>
      </w:pPr>
      <w:r>
        <w:t xml:space="preserve">Business Intelligence untuk Laporan Keberlanjutan (ESG): Dari Data Tersebar ke Laporan yang Diaudit</w:t>
      </w:r>
    </w:p>
    <w:p>
      <w:pPr>
        <w:pStyle w:val="FirstParagraph"/>
      </w:pPr>
      <w:r>
        <w:t xml:space="preserve">Setiap kuartal pertama, pola yang sama berulang di banyak perusahaan: tim keberlanjutan mengejar tenggat laporan dengan mengumpulkan angka emisi, konsumsi energi, limbah, dan data ketenagakerjaan lewat email dan puluhan berkas spreadsheet dari berbagai unit. Angka masuk menjelang batas akhir, tanpa jejak yang jelas soal siapa yang mengisi dan dari mana sumbernya. Begitu auditor atau regulator bertanya</w:t>
      </w:r>
      <w:r>
        <w:t xml:space="preserve"> </w:t>
      </w:r>
      <w:r>
        <w:t xml:space="preserve">“angka ini dari mana?”</w:t>
      </w:r>
      <w:r>
        <w:t xml:space="preserve">, jawaban sering tidak ada. Di sinilah</w:t>
      </w:r>
      <w:r>
        <w:t xml:space="preserve"> </w:t>
      </w:r>
      <w:r>
        <w:rPr>
          <w:b/>
          <w:bCs/>
        </w:rPr>
        <w:t xml:space="preserve">Business Intelligence</w:t>
      </w:r>
      <w:r>
        <w:t xml:space="preserve"> </w:t>
      </w:r>
      <w:r>
        <w:t xml:space="preserve">berperan bukan sebagai laporan yang lebih cantik, melainkan sebagai lapisan yang mengubah data keberlanjutan yang tersebar menjadi satu sumber yang konsisten dan dapat ditelusuri.</w:t>
      </w:r>
    </w:p>
    <w:p>
      <w:pPr>
        <w:pStyle w:val="BlockText"/>
      </w:pPr>
      <w:r>
        <w:rPr>
          <w:b/>
          <w:bCs/>
        </w:rPr>
        <w:t xml:space="preserve">Ringkas:</w:t>
      </w:r>
      <w:r>
        <w:t xml:space="preserve"> </w:t>
      </w:r>
      <w:r>
        <w:t xml:space="preserve">Pelaporan ESG (</w:t>
      </w:r>
      <w:r>
        <w:rPr>
          <w:i/>
          <w:iCs/>
        </w:rPr>
        <w:t xml:space="preserve">Environmental, Social, Governance</w:t>
      </w:r>
      <w:r>
        <w:t xml:space="preserve">) atau laporan keberlanjutan adalah pengungkapan kinerja perusahaan pada aspek lingkungan, sosial, dan tata kelola dalam bentuk data terukur dan dapat diverifikasi, bukan sekadar narasi. Di Indonesia, laporan ini diwajibkan POJK 51/POJK.03/2017 dan akan mengikuti Standar Pengungkapan Keberlanjutan (PSPK 1 &amp; 2) yang berlaku efektif 1 Januari 2027, selaras dengan IFRS S1/S2.</w:t>
      </w:r>
    </w:p>
    <w:p>
      <w:pPr>
        <w:pStyle w:val="FirstParagraph"/>
      </w:pPr>
      <w:r>
        <w:t xml:space="preserve">Artikel ini membahas mengapa pelaporan keberlanjutan sebenarnya adalah persoalan data, siapa yang wajib melapor di Indonesia, bagaimana peran BI mengubah data tersebar menjadi laporan yang diaudit, tantangan khusus pada emisi rantai pasok, dan kapan sebuah perusahaan justru belum perlu membeli platform ESG khusus.</w:t>
      </w:r>
    </w:p>
    <w:bookmarkStart w:id="17" w:name="X477a9859c57c43baba1030bf597aace4128ddc9"/>
    <w:p>
      <w:pPr>
        <w:pStyle w:val="Heading2"/>
      </w:pPr>
      <w:r>
        <w:t xml:space="preserve">Apa Itu Pelaporan ESG dan Mengapa Ini Soal Data, Bukan Sekadar Laporan?</w:t>
      </w:r>
    </w:p>
    <w:p>
      <w:pPr>
        <w:pStyle w:val="FirstParagraph"/>
      </w:pPr>
      <w:r>
        <w:t xml:space="preserve">Pelaporan ESG adalah pengungkapan kinerja lingkungan, sosial, dan tata kelola perusahaan dalam bentuk angka yang dapat dibandingkan antar-periode dan diverifikasi pihak ketiga. Perbedaan mendasarnya dengan laporan CSR lama: ia menuntut metrik terukur yang konsisten, bukan cerita program sosial. Begitu angka menjadi wajib dan diaudit, tantangannya berpindah dari menulis narasi ke menata data.</w:t>
      </w:r>
    </w:p>
    <w:p>
      <w:pPr>
        <w:pStyle w:val="BodyText"/>
      </w:pPr>
      <w:r>
        <w:t xml:space="preserve">Pergeseran ini penting dipahami eksekutif. Dulu laporan keberlanjutan berisi foto kegiatan dan paragraf komitmen. Sekarang isinya intensitas emisi per ton produk, rasio energi terbarukan, angka kecelakaan kerja, dan komposisi tenaga kerja, semuanya harus punya dasar hitung yang sama dari tahun ke tahun. Ketika sebuah angka berubah drastis dibanding periode lalu, perusahaan harus bisa menjelaskan apakah itu perbaikan nyata atau sekadar perubahan cara menghitung.</w:t>
      </w:r>
    </w:p>
    <w:p>
      <w:pPr>
        <w:pStyle w:val="BodyText"/>
      </w:pPr>
      <w:r>
        <w:t xml:space="preserve">Di titik inilah</w:t>
      </w:r>
      <w:r>
        <w:t xml:space="preserve"> </w:t>
      </w:r>
      <w:r>
        <w:rPr>
          <w:i/>
          <w:iCs/>
        </w:rPr>
        <w:t xml:space="preserve">Business Intelligence</w:t>
      </w:r>
      <w:r>
        <w:t xml:space="preserve"> </w:t>
      </w:r>
      <w:r>
        <w:t xml:space="preserve">(analitik dan pelaporan bisnis) masuk. Data ESG datang dari sistem yang berbeda-beda: modul operasional, tagihan utilitas, sistem SDM, hingga data pengadaan. BI berfungsi sebagai lapisan konsolidasi yang menyatukan sumber-sumber itu, mendefinisikan setiap metrik sekali, lalu menyajikannya dalam format yang bisa dipertanggungjawabkan. Tanpa lapisan ini, laporan keberlanjutan menjadi hasil tempel-menempel yang rapuh saat diperiksa.</w:t>
      </w:r>
    </w:p>
    <w:bookmarkEnd w:id="17"/>
    <w:bookmarkStart w:id="19" w:name="Xdc4e4b31e3d8e9eaa175651ad76c3ec2cb8444d"/>
    <w:p>
      <w:pPr>
        <w:pStyle w:val="Heading2"/>
      </w:pPr>
      <w:r>
        <w:t xml:space="preserve">Siapa yang Wajib Melapor, dan Standar Apa yang Berlaku di Indonesia?</w:t>
      </w:r>
    </w:p>
    <w:p>
      <w:pPr>
        <w:pStyle w:val="FirstParagraph"/>
      </w:pPr>
      <w:r>
        <w:t xml:space="preserve">Di Indonesia, kewajiban pelaporan keberlanjutan sudah berlaku sekarang lewat POJK 51/POJK.03/2017, yang mewajibkan Lembaga Jasa Keuangan (LJK), emiten, dan perusahaan publik menyusun Laporan Keberlanjutan. Bila disampaikan terpisah dari laporan tahunan, laporan itu wajib disampaikan ke OJK paling lambat 30 April tahun berikutnya dan dipublikasikan di situs web perusahaan.</w:t>
      </w:r>
    </w:p>
    <w:p>
      <w:pPr>
        <w:pStyle w:val="BodyText"/>
      </w:pPr>
      <w:r>
        <w:t xml:space="preserve">Perlu dibedakan dua lapis aturan agar tidak keliru. POJK 51 (2017) sudah berjalan dan menetapkan kewajiban serta format dasar laporan; LJK bahkan wajib menyampaikan dua dokumen, yaitu Rencana Aksi Keuangan Berkelanjutan (RAKB) dan Laporan Keberlanjutan (menurut</w:t>
      </w:r>
      <w:r>
        <w:t xml:space="preserve"> </w:t>
      </w:r>
      <w:hyperlink r:id="rId18">
        <w:r>
          <w:rPr>
            <w:rStyle w:val="Hyperlink"/>
          </w:rPr>
          <w:t xml:space="preserve">salinan resmi POJK 51 dari OJK</w:t>
        </w:r>
      </w:hyperlink>
      <w:r>
        <w:t xml:space="preserve">). Yang datang berikutnya adalah Standar Pengungkapan Keberlanjutan (SPK), terdiri dari PSPK 1 (persyaratan umum) dan PSPK 2 (pengungkapan terkait iklim). SPK disahkan Dewan Standar Keberlanjutan IAI pada 2025 dan berlaku efektif 1 Januari 2027, dibangun konvergen dengan standar global IFRS S1/S2 dari ISSB. Artinya, POJK 51 adalah kewajiban hari ini; SPK adalah pengetatan standar pengungkapan yang datang 2027.</w:t>
      </w:r>
    </w:p>
    <w:p>
      <w:pPr>
        <w:pStyle w:val="BodyText"/>
      </w:pPr>
      <w:r>
        <w:t xml:space="preserve">Dua kerangka rujukan sering membingungkan: GRI dan IFRS S1/S2. Keduanya bukan pilihan</w:t>
      </w:r>
      <w:r>
        <w:t xml:space="preserve"> </w:t>
      </w:r>
      <w:r>
        <w:t xml:space="preserve">“salah satu lebih benar”</w:t>
      </w:r>
      <w:r>
        <w:t xml:space="preserve">, melainkan sudut pandang berbeda yang sering dipakai berdampingan.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GRI</w:t>
            </w:r>
          </w:p>
        </w:tc>
        <w:tc>
          <w:tcPr/>
          <w:p>
            <w:pPr>
              <w:pStyle w:val="Compact"/>
            </w:pPr>
            <w:r>
              <w:t xml:space="preserve">IFRS S1/S2 (ISSB)</w:t>
            </w:r>
          </w:p>
        </w:tc>
        <w:tc>
          <w:tcPr/>
          <w:p>
            <w:pPr>
              <w:pStyle w:val="Compact"/>
            </w:pPr>
            <w:r>
              <w:t xml:space="preserve">SPK Indonesia (PSPK 1 &amp; 2)</w:t>
            </w:r>
          </w:p>
        </w:tc>
      </w:tr>
      <w:tr>
        <w:tc>
          <w:tcPr/>
          <w:p>
            <w:pPr>
              <w:pStyle w:val="Compact"/>
            </w:pPr>
            <w:r>
              <w:t xml:space="preserve">Fokus</w:t>
            </w:r>
          </w:p>
        </w:tc>
        <w:tc>
          <w:tcPr/>
          <w:p>
            <w:pPr>
              <w:pStyle w:val="Compact"/>
            </w:pPr>
            <w:r>
              <w:t xml:space="preserve">Dampak ke lingkungan &amp; masyarakat</w:t>
            </w:r>
          </w:p>
        </w:tc>
        <w:tc>
          <w:tcPr/>
          <w:p>
            <w:pPr>
              <w:pStyle w:val="Compact"/>
            </w:pPr>
            <w:r>
              <w:t xml:space="preserve">Risiko/peluang material finansial</w:t>
            </w:r>
          </w:p>
        </w:tc>
        <w:tc>
          <w:tcPr/>
          <w:p>
            <w:pPr>
              <w:pStyle w:val="Compact"/>
            </w:pPr>
            <w:r>
              <w:t xml:space="preserve">Konvergen dengan IFRS S1/S2</w:t>
            </w:r>
          </w:p>
        </w:tc>
      </w:tr>
      <w:tr>
        <w:tc>
          <w:tcPr/>
          <w:p>
            <w:pPr>
              <w:pStyle w:val="Compact"/>
            </w:pPr>
            <w:r>
              <w:t xml:space="preserve">Materialitas</w:t>
            </w:r>
          </w:p>
        </w:tc>
        <w:tc>
          <w:tcPr/>
          <w:p>
            <w:pPr>
              <w:pStyle w:val="Compact"/>
            </w:pPr>
            <w:r>
              <w:t xml:space="preserve">Dampak (</w:t>
            </w:r>
            <w:r>
              <w:rPr>
                <w:i/>
                <w:iCs/>
              </w:rPr>
              <w:t xml:space="preserve">impact</w:t>
            </w:r>
            <w:r>
              <w:t xml:space="preserve">)</w:t>
            </w:r>
          </w:p>
        </w:tc>
        <w:tc>
          <w:tcPr/>
          <w:p>
            <w:pPr>
              <w:pStyle w:val="Compact"/>
            </w:pPr>
            <w:r>
              <w:t xml:space="preserve">Finansial (investor)</w:t>
            </w:r>
          </w:p>
        </w:tc>
        <w:tc>
          <w:tcPr/>
          <w:p>
            <w:pPr>
              <w:pStyle w:val="Compact"/>
            </w:pPr>
            <w:r>
              <w:t xml:space="preserve">Mengikuti pendekatan ISSB</w:t>
            </w:r>
          </w:p>
        </w:tc>
      </w:tr>
      <w:tr>
        <w:tc>
          <w:tcPr/>
          <w:p>
            <w:pPr>
              <w:pStyle w:val="Compact"/>
            </w:pPr>
            <w:r>
              <w:t xml:space="preserve">Audiens</w:t>
            </w:r>
          </w:p>
        </w:tc>
        <w:tc>
          <w:tcPr/>
          <w:p>
            <w:pPr>
              <w:pStyle w:val="Compact"/>
            </w:pPr>
            <w:r>
              <w:t xml:space="preserve">Multi-pemangku kepentingan</w:t>
            </w:r>
          </w:p>
        </w:tc>
        <w:tc>
          <w:tcPr/>
          <w:p>
            <w:pPr>
              <w:pStyle w:val="Compact"/>
            </w:pPr>
            <w:r>
              <w:t xml:space="preserve">Investor &amp; pasar modal</w:t>
            </w:r>
          </w:p>
        </w:tc>
        <w:tc>
          <w:tcPr/>
          <w:p>
            <w:pPr>
              <w:pStyle w:val="Compact"/>
            </w:pPr>
            <w:r>
              <w:t xml:space="preserve">Investor &amp; regulator (Indonesia)</w:t>
            </w:r>
          </w:p>
        </w:tc>
      </w:tr>
      <w:tr>
        <w:tc>
          <w:tcPr/>
          <w:p>
            <w:pPr>
              <w:pStyle w:val="Compact"/>
            </w:pPr>
            <w:r>
              <w:t xml:space="preserve">Status di Indonesia</w:t>
            </w:r>
          </w:p>
        </w:tc>
        <w:tc>
          <w:tcPr/>
          <w:p>
            <w:pPr>
              <w:pStyle w:val="Compact"/>
            </w:pPr>
            <w:r>
              <w:t xml:space="preserve">Rujukan umum penyusunan</w:t>
            </w:r>
          </w:p>
        </w:tc>
        <w:tc>
          <w:tcPr/>
          <w:p>
            <w:pPr>
              <w:pStyle w:val="Compact"/>
            </w:pPr>
            <w:r>
              <w:t xml:space="preserve">Basis global</w:t>
            </w:r>
          </w:p>
        </w:tc>
        <w:tc>
          <w:tcPr/>
          <w:p>
            <w:pPr>
              <w:pStyle w:val="Compact"/>
            </w:pPr>
            <w:r>
              <w:t xml:space="preserve">Efektif 1 Januari 2027</w:t>
            </w:r>
          </w:p>
        </w:tc>
      </w:tr>
    </w:tbl>
    <w:p>
      <w:pPr>
        <w:pStyle w:val="BodyText"/>
      </w:pPr>
      <w:r>
        <w:t xml:space="preserve">Bagi tim keuangan dan tata kelola, konsekuensi praktisnya jelas: standar yang datang menuntut angka yang bisa diaudit selayaknya angka finansial. Itu bukan pekerjaan tim komunikasi, melainkan pekerjaan data.</w:t>
      </w:r>
    </w:p>
    <w:bookmarkEnd w:id="19"/>
    <w:bookmarkStart w:id="21" w:name="X3d90007d0a75c2bc66bfc83790f4ac88a784182"/>
    <w:p>
      <w:pPr>
        <w:pStyle w:val="Heading2"/>
      </w:pPr>
      <w:r>
        <w:t xml:space="preserve">Dari Data Tersebar ke Laporan yang Diaudit: Di Mana BI Berperan</w:t>
      </w:r>
    </w:p>
    <w:p>
      <w:pPr>
        <w:pStyle w:val="FirstParagraph"/>
      </w:pPr>
      <w:r>
        <w:t xml:space="preserve">Peran BI dalam pelaporan ESG adalah mengubah data yang berserak di banyak sistem menjadi satu sumber angka yang konsisten, punya jejak audit, dan siap didistribusikan. Ia tidak menghitung emisi dari nol; ia mengonsolidasikan, mendefinisikan metrik sekali, memvisualisasikan, dan menyimpan riwayat dari mana setiap angka berasal, sehingga laporan lolos saat ditelusuri auditor.</w:t>
      </w:r>
    </w:p>
    <w:p>
      <w:pPr>
        <w:pStyle w:val="BodyText"/>
      </w:pPr>
      <w:r>
        <w:t xml:space="preserve">Masalah yang paling umum bukan ketiadaan data, melainkan data yang tercerai-berai. Konsumsi listrik ada di tagihan, angka limbah di catatan pabrik, data K3 di sistem SDM, sementara emisi dari BBM kendaraan tersebar di catatan operasional. Selama semua ini dikumpulkan manual menjelang tenggat, tidak ada yang bisa menjamin konsistensinya. Langkah yang sehat biasanya berurutan:</w:t>
      </w:r>
    </w:p>
    <w:p>
      <w:pPr>
        <w:pStyle w:val="Compact"/>
        <w:numPr>
          <w:ilvl w:val="0"/>
          <w:numId w:val="1001"/>
        </w:numPr>
      </w:pPr>
      <w:r>
        <w:rPr>
          <w:b/>
          <w:bCs/>
        </w:rPr>
        <w:t xml:space="preserve">Tetapkan sumber data per metrik.</w:t>
      </w:r>
      <w:r>
        <w:t xml:space="preserve"> </w:t>
      </w:r>
      <w:r>
        <w:t xml:space="preserve">Untuk tiap angka (energi, emisi, air, limbah, K3, tenaga kerja), tentukan sistem sumbernya dan penanggung jawabnya, bukan</w:t>
      </w:r>
      <w:r>
        <w:t xml:space="preserve"> </w:t>
      </w:r>
      <w:r>
        <w:t xml:space="preserve">“siapa yang sempat mengisi”</w:t>
      </w:r>
      <w:r>
        <w:t xml:space="preserve">.</w:t>
      </w:r>
    </w:p>
    <w:p>
      <w:pPr>
        <w:pStyle w:val="Compact"/>
        <w:numPr>
          <w:ilvl w:val="0"/>
          <w:numId w:val="1001"/>
        </w:numPr>
      </w:pPr>
      <w:r>
        <w:rPr>
          <w:b/>
          <w:bCs/>
        </w:rPr>
        <w:t xml:space="preserve">Konsolidasikan ke satu repositori.</w:t>
      </w:r>
      <w:r>
        <w:t xml:space="preserve"> </w:t>
      </w:r>
      <w:r>
        <w:t xml:space="preserve">Alihkan dari kumpulan spreadsheet ke satu tempat data terpusat agar tidak ada dua versi angka yang beredar.</w:t>
      </w:r>
    </w:p>
    <w:p>
      <w:pPr>
        <w:pStyle w:val="Compact"/>
        <w:numPr>
          <w:ilvl w:val="0"/>
          <w:numId w:val="1001"/>
        </w:numPr>
      </w:pPr>
      <w:r>
        <w:rPr>
          <w:b/>
          <w:bCs/>
        </w:rPr>
        <w:t xml:space="preserve">Definisikan setiap metrik sekali.</w:t>
      </w:r>
      <w:r>
        <w:t xml:space="preserve"> </w:t>
      </w:r>
      <w:r>
        <w:t xml:space="preserve">Sepakati rumus dan satuan sebagai</w:t>
      </w:r>
      <w:r>
        <w:t xml:space="preserve"> </w:t>
      </w:r>
      <w:r>
        <w:rPr>
          <w:i/>
          <w:iCs/>
        </w:rPr>
        <w:t xml:space="preserve">single source of truth</w:t>
      </w:r>
      <w:r>
        <w:t xml:space="preserve"> </w:t>
      </w:r>
      <w:r>
        <w:t xml:space="preserve">(satu sumber data yang dipercaya semua unit), supaya</w:t>
      </w:r>
      <w:r>
        <w:t xml:space="preserve"> </w:t>
      </w:r>
      <w:r>
        <w:t xml:space="preserve">“intensitas emisi”</w:t>
      </w:r>
      <w:r>
        <w:t xml:space="preserve"> </w:t>
      </w:r>
      <w:r>
        <w:t xml:space="preserve">berarti hal yang sama di seluruh perusahaan.</w:t>
      </w:r>
    </w:p>
    <w:p>
      <w:pPr>
        <w:pStyle w:val="Compact"/>
        <w:numPr>
          <w:ilvl w:val="0"/>
          <w:numId w:val="1001"/>
        </w:numPr>
      </w:pPr>
      <w:r>
        <w:rPr>
          <w:b/>
          <w:bCs/>
        </w:rPr>
        <w:t xml:space="preserve">Bangun dashboard dan jejak audit.</w:t>
      </w:r>
      <w:r>
        <w:t xml:space="preserve"> </w:t>
      </w:r>
      <w:r>
        <w:t xml:space="preserve">Setiap angka dilengkapi</w:t>
      </w:r>
      <w:r>
        <w:t xml:space="preserve"> </w:t>
      </w:r>
      <w:r>
        <w:rPr>
          <w:i/>
          <w:iCs/>
        </w:rPr>
        <w:t xml:space="preserve">audit trail</w:t>
      </w:r>
      <w:r>
        <w:t xml:space="preserve"> </w:t>
      </w:r>
      <w:r>
        <w:t xml:space="preserve">(jejak audit): siapa memasukkan, kapan, dari sumber apa, dan dengan metode hitung mana.</w:t>
      </w:r>
    </w:p>
    <w:p>
      <w:pPr>
        <w:pStyle w:val="FirstParagraph"/>
      </w:pPr>
      <w:r>
        <w:t xml:space="preserve">Untuk pengumpulan data di lapangan, misalnya pencatatan energi, limbah, atau K3 di lokasi pabrik, tim sering butuh aplikasi input sederhana yang cepat dibangun. Di sinilah pendekatan</w:t>
      </w:r>
      <w:r>
        <w:t xml:space="preserve"> </w:t>
      </w:r>
      <w:hyperlink r:id="rId20">
        <w:r>
          <w:rPr>
            <w:rStyle w:val="Hyperlink"/>
          </w:rPr>
          <w:t xml:space="preserve">low-code platform</w:t>
        </w:r>
      </w:hyperlink>
      <w:r>
        <w:t xml:space="preserve"> </w:t>
      </w:r>
      <w:r>
        <w:t xml:space="preserve">membantu: aplikasi entri data dibangun cepat, lalu alirannya masuk ke lapisan BI, alih-alih mengandalkan formulir spreadsheet yang mudah rusak.</w:t>
      </w:r>
    </w:p>
    <w:p>
      <w:pPr>
        <w:pStyle w:val="BodyText"/>
      </w:pPr>
      <w:r>
        <w:t xml:space="preserve">Pembagian peran teknologi di sini krusial dan sering salah dipahami.</w:t>
      </w:r>
      <w:r>
        <w:t xml:space="preserve"> </w:t>
      </w:r>
      <w:r>
        <w:rPr>
          <w:b/>
          <w:bCs/>
        </w:rPr>
        <w:t xml:space="preserve">SAP Analytics Cloud (SAC)</w:t>
      </w:r>
      <w:r>
        <w:t xml:space="preserve"> </w:t>
      </w:r>
      <w:r>
        <w:t xml:space="preserve">adalah lapisan pelaporan dan dashboard: ia mengagregasi, memvisualisasi, dan mendistribusikan laporan, tetapi bukan penghitung emisi. Yang menghitung dan mensentralisasi data karbon adalah rangkaian produk keberlanjutan SAP:</w:t>
      </w:r>
      <w:r>
        <w:t xml:space="preserve"> </w:t>
      </w:r>
      <w:r>
        <w:rPr>
          <w:b/>
          <w:bCs/>
        </w:rPr>
        <w:t xml:space="preserve">SAP Sustainability Control Tower</w:t>
      </w:r>
      <w:r>
        <w:t xml:space="preserve"> </w:t>
      </w:r>
      <w:r>
        <w:t xml:space="preserve">untuk sentralisasi data ESG bagi pelaporan dan kepatuhan,</w:t>
      </w:r>
      <w:r>
        <w:t xml:space="preserve"> </w:t>
      </w:r>
      <w:r>
        <w:rPr>
          <w:b/>
          <w:bCs/>
        </w:rPr>
        <w:t xml:space="preserve">SAP Sustainability Footprint Management</w:t>
      </w:r>
      <w:r>
        <w:t xml:space="preserve"> </w:t>
      </w:r>
      <w:r>
        <w:t xml:space="preserve">untuk kalkulasi jejak karbon produk dan korporat berbasis ERP, serta</w:t>
      </w:r>
      <w:r>
        <w:t xml:space="preserve"> </w:t>
      </w:r>
      <w:r>
        <w:rPr>
          <w:b/>
          <w:bCs/>
        </w:rPr>
        <w:t xml:space="preserve">SAP Green Ledger</w:t>
      </w:r>
      <w:r>
        <w:t xml:space="preserve"> </w:t>
      </w:r>
      <w:r>
        <w:t xml:space="preserve">yang memadukan data karbon dengan akuntansi finansial (diperkenalkan sekitar akhir 2024 dan terus dikembangkan). Menempatkan SAC sebagai</w:t>
      </w:r>
      <w:r>
        <w:t xml:space="preserve"> </w:t>
      </w:r>
      <w:r>
        <w:t xml:space="preserve">“kalkulator emisi”</w:t>
      </w:r>
      <w:r>
        <w:t xml:space="preserve"> </w:t>
      </w:r>
      <w:r>
        <w:t xml:space="preserve">adalah kekeliruan atribusi yang umum. Kredibilitas laporan ESG ditentukan oleh tata kelola data di hulunya, bukan oleh dashboard di hilirnya.</w:t>
      </w:r>
    </w:p>
    <w:bookmarkEnd w:id="21"/>
    <w:bookmarkStart w:id="24" w:name="Xa3db411d6c8a00779390c749a73545e20621d48"/>
    <w:p>
      <w:pPr>
        <w:pStyle w:val="Heading2"/>
      </w:pPr>
      <w:r>
        <w:t xml:space="preserve">Tantangan Emisi Scope 3: Ketika Data Datang dari Supplier</w:t>
      </w:r>
    </w:p>
    <w:p>
      <w:pPr>
        <w:pStyle w:val="FirstParagraph"/>
      </w:pPr>
      <w:r>
        <w:t xml:space="preserve">Emisi scope 3 adalah emisi rantai nilai di luar kendali langsung perusahaan, mulai dari pembelian barang dan jasa, logistik, hingga penggunaan produk. Klasifikasi ini berasal dari GHG Protocol, yang membaginya menjadi 15 kategori. Bagi sebagian besar perusahaan, scope 3 dapat mencapai 70-90% dari total emisi, dan justru inilah data yang paling sulit dikumpulkan karena sumbernya ada di pihak lain.</w:t>
      </w:r>
    </w:p>
    <w:p>
      <w:pPr>
        <w:pStyle w:val="BodyText"/>
      </w:pPr>
      <w:r>
        <w:t xml:space="preserve">Klasifikasi emisi membantu menjelaskan mengapa sebagian angka mudah didapat dan sebagian sangat sulit: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Scope 1</w:t>
            </w:r>
          </w:p>
        </w:tc>
        <w:tc>
          <w:tcPr/>
          <w:p>
            <w:pPr>
              <w:pStyle w:val="Compact"/>
            </w:pPr>
            <w:r>
              <w:t xml:space="preserve">Scope 2</w:t>
            </w:r>
          </w:p>
        </w:tc>
        <w:tc>
          <w:tcPr/>
          <w:p>
            <w:pPr>
              <w:pStyle w:val="Compact"/>
            </w:pPr>
            <w:r>
              <w:t xml:space="preserve">Scope 3</w:t>
            </w:r>
          </w:p>
        </w:tc>
      </w:tr>
      <w:tr>
        <w:tc>
          <w:tcPr/>
          <w:p>
            <w:pPr>
              <w:pStyle w:val="Compact"/>
            </w:pPr>
            <w:r>
              <w:t xml:space="preserve">Definisi</w:t>
            </w:r>
          </w:p>
        </w:tc>
        <w:tc>
          <w:tcPr/>
          <w:p>
            <w:pPr>
              <w:pStyle w:val="Compact"/>
            </w:pPr>
            <w:r>
              <w:t xml:space="preserve">Emisi langsung dari sumber yang dimiliki/dikendalikan</w:t>
            </w:r>
          </w:p>
        </w:tc>
        <w:tc>
          <w:tcPr/>
          <w:p>
            <w:pPr>
              <w:pStyle w:val="Compact"/>
            </w:pPr>
            <w:r>
              <w:t xml:space="preserve">Emisi tidak langsung dari energi yang dibeli</w:t>
            </w:r>
          </w:p>
        </w:tc>
        <w:tc>
          <w:tcPr/>
          <w:p>
            <w:pPr>
              <w:pStyle w:val="Compact"/>
            </w:pPr>
            <w:r>
              <w:t xml:space="preserve">Emisi rantai nilai (hulu &amp; hilir) di luar kendali langsung</w:t>
            </w:r>
          </w:p>
        </w:tc>
      </w:tr>
      <w:tr>
        <w:tc>
          <w:tcPr/>
          <w:p>
            <w:pPr>
              <w:pStyle w:val="Compact"/>
            </w:pPr>
            <w:r>
              <w:t xml:space="preserve">Contoh</w:t>
            </w:r>
          </w:p>
        </w:tc>
        <w:tc>
          <w:tcPr/>
          <w:p>
            <w:pPr>
              <w:pStyle w:val="Compact"/>
            </w:pPr>
            <w:r>
              <w:t xml:space="preserve">BBM kendaraan, boiler, genset</w:t>
            </w:r>
          </w:p>
        </w:tc>
        <w:tc>
          <w:tcPr/>
          <w:p>
            <w:pPr>
              <w:pStyle w:val="Compact"/>
            </w:pPr>
            <w:r>
              <w:t xml:space="preserve">Listrik, uap, pemanas, pendingin yang dibeli</w:t>
            </w:r>
          </w:p>
        </w:tc>
        <w:tc>
          <w:tcPr/>
          <w:p>
            <w:pPr>
              <w:pStyle w:val="Compact"/>
            </w:pPr>
            <w:r>
              <w:t xml:space="preserve">Pembelian barang/jasa, logistik, penggunaan produk</w:t>
            </w:r>
          </w:p>
        </w:tc>
      </w:tr>
      <w:tr>
        <w:tc>
          <w:tcPr/>
          <w:p>
            <w:pPr>
              <w:pStyle w:val="Compact"/>
            </w:pPr>
            <w:r>
              <w:t xml:space="preserve">Sumber data</w:t>
            </w:r>
          </w:p>
        </w:tc>
        <w:tc>
          <w:tcPr/>
          <w:p>
            <w:pPr>
              <w:pStyle w:val="Compact"/>
            </w:pPr>
            <w:r>
              <w:t xml:space="preserve">Internal (operasional)</w:t>
            </w:r>
          </w:p>
        </w:tc>
        <w:tc>
          <w:tcPr/>
          <w:p>
            <w:pPr>
              <w:pStyle w:val="Compact"/>
            </w:pPr>
            <w:r>
              <w:t xml:space="preserve">Tagihan/utilitas energi</w:t>
            </w:r>
          </w:p>
        </w:tc>
        <w:tc>
          <w:tcPr/>
          <w:p>
            <w:pPr>
              <w:pStyle w:val="Compact"/>
            </w:pPr>
            <w:r>
              <w:t xml:space="preserve">Supplier &amp; mitra rantai nilai</w:t>
            </w:r>
          </w:p>
        </w:tc>
      </w:tr>
      <w:tr>
        <w:tc>
          <w:tcPr/>
          <w:p>
            <w:pPr>
              <w:pStyle w:val="Compact"/>
            </w:pPr>
            <w:r>
              <w:t xml:space="preserve">Catatan</w:t>
            </w:r>
          </w:p>
        </w:tc>
        <w:tc>
          <w:tcPr/>
          <w:p>
            <w:pPr>
              <w:pStyle w:val="Compact"/>
            </w:pPr>
            <w:r>
              <w:t xml:space="preserve">Paling mudah didata</w:t>
            </w:r>
          </w:p>
        </w:tc>
        <w:tc>
          <w:tcPr/>
          <w:p>
            <w:pPr>
              <w:pStyle w:val="Compact"/>
            </w:pPr>
            <w:r>
              <w:t xml:space="preserve">Relatif terukur</w:t>
            </w:r>
          </w:p>
        </w:tc>
        <w:tc>
          <w:tcPr/>
          <w:p>
            <w:pPr>
              <w:pStyle w:val="Compact"/>
            </w:pPr>
            <w:r>
              <w:t xml:space="preserve">Sering 70-90% total emisi</w:t>
            </w:r>
          </w:p>
        </w:tc>
      </w:tr>
    </w:tbl>
    <w:p>
      <w:pPr>
        <w:pStyle w:val="BodyText"/>
      </w:pPr>
      <w:r>
        <w:t xml:space="preserve">Untuk scope 1 dan 2, sumber datanya internal: catatan operasional dan tagihan utilitas. Scope 3 berbeda; angkanya harus dikumpulkan dari supplier, dan kualitasnya dibatasi kesediaan serta kematangan data vendor (definisi scope 1/2/3 mengacu pada</w:t>
      </w:r>
      <w:r>
        <w:t xml:space="preserve"> </w:t>
      </w:r>
      <w:hyperlink r:id="rId22">
        <w:r>
          <w:rPr>
            <w:rStyle w:val="Hyperlink"/>
          </w:rPr>
          <w:t xml:space="preserve">GHG Protocol Corporate Value Chain Standard</w:t>
        </w:r>
      </w:hyperlink>
      <w:r>
        <w:t xml:space="preserve">). Karena itu, sistem pengadaan dan manajemen vendor menjadi kanal pengumpulan data keberlanjutan supplier. Sebuah</w:t>
      </w:r>
      <w:r>
        <w:t xml:space="preserve"> </w:t>
      </w:r>
      <w:hyperlink r:id="rId23">
        <w:r>
          <w:rPr>
            <w:rStyle w:val="Hyperlink"/>
          </w:rPr>
          <w:t xml:space="preserve">vendor management system</w:t>
        </w:r>
      </w:hyperlink>
      <w:r>
        <w:t xml:space="preserve"> </w:t>
      </w:r>
      <w:r>
        <w:t xml:space="preserve">yang tertata menjadikan pertukaran data supplier bagian dari proses pengadaan, bukan permintaan mendadak lewat email. Di ekosistem SAP, jalur pengadaan dan supplier network seperti SAP Ariba, bersama SAP Fieldglass untuk tenaga kerja eksternal, berfungsi sebagai titik masuk data rantai pasok.</w:t>
      </w:r>
    </w:p>
    <w:p>
      <w:pPr>
        <w:pStyle w:val="BodyText"/>
      </w:pPr>
      <w:r>
        <w:t xml:space="preserve">Satu kejujuran yang jarang ditulis: banyak perusahaan awalnya memakai data rata-rata industri (</w:t>
      </w:r>
      <w:r>
        <w:rPr>
          <w:i/>
          <w:iCs/>
        </w:rPr>
        <w:t xml:space="preserve">secondary data</w:t>
      </w:r>
      <w:r>
        <w:t xml:space="preserve">) untuk scope 3 sebelum mendapat data primer dari supplier. Ini wajar sebagai titik mulai, asal transparan dicatat sebagai estimasi, bukan disajikan seolah data terverifikasi.</w:t>
      </w:r>
    </w:p>
    <w:bookmarkEnd w:id="24"/>
    <w:bookmarkStart w:id="25" w:name="X3fdc1542cb021ca6889ccddb0e94d4121571dc0"/>
    <w:p>
      <w:pPr>
        <w:pStyle w:val="Heading2"/>
      </w:pPr>
      <w:r>
        <w:t xml:space="preserve">Kapan Anda Belum Perlu Platform ESG Khusus</w:t>
      </w:r>
    </w:p>
    <w:p>
      <w:pPr>
        <w:pStyle w:val="FirstParagraph"/>
      </w:pPr>
      <w:r>
        <w:t xml:space="preserve">Tidak semua perusahaan perlu buru-buru membeli platform ESG. Jika perusahaan belum masuk cakupan wajib POJK, berskala kecil, dan data dasarnya (energi, emisi, limbah) belum tercatat rapi, membeli platform mahal justru berisiko: yang diotomasi adalah proses yang belum ada. Urutan sehatnya adalah catat dan standarkan dulu, konsolidasi, baru otomasi.</w:t>
      </w:r>
    </w:p>
    <w:p>
      <w:pPr>
        <w:pStyle w:val="BodyText"/>
      </w:pPr>
      <w:r>
        <w:t xml:space="preserve">Anda kemungkinan belum perlu platform ESG khusus jika kondisi berikut masih terjadi:</w:t>
      </w:r>
    </w:p>
    <w:p>
      <w:pPr>
        <w:pStyle w:val="Compact"/>
        <w:numPr>
          <w:ilvl w:val="0"/>
          <w:numId w:val="1002"/>
        </w:numPr>
      </w:pPr>
      <w:r>
        <w:rPr>
          <w:b/>
          <w:bCs/>
        </w:rPr>
        <w:t xml:space="preserve">Data dasar belum tercatat konsisten.</w:t>
      </w:r>
      <w:r>
        <w:t xml:space="preserve"> </w:t>
      </w:r>
      <w:r>
        <w:t xml:space="preserve">Konsumsi energi dan emisi masih diperkirakan, bukan diukur dari sumber yang jelas. Membeli dashboard tidak menciptakan data yang belum pernah dikumpulkan.</w:t>
      </w:r>
    </w:p>
    <w:p>
      <w:pPr>
        <w:pStyle w:val="Compact"/>
        <w:numPr>
          <w:ilvl w:val="0"/>
          <w:numId w:val="1002"/>
        </w:numPr>
      </w:pPr>
      <w:r>
        <w:rPr>
          <w:b/>
          <w:bCs/>
        </w:rPr>
        <w:t xml:space="preserve">Definisi metrik belum disepakati.</w:t>
      </w:r>
      <w:r>
        <w:t xml:space="preserve"> </w:t>
      </w:r>
      <w:r>
        <w:t xml:space="preserve">Bila</w:t>
      </w:r>
      <w:r>
        <w:t xml:space="preserve"> </w:t>
      </w:r>
      <w:r>
        <w:t xml:space="preserve">“emisi”</w:t>
      </w:r>
      <w:r>
        <w:t xml:space="preserve"> </w:t>
      </w:r>
      <w:r>
        <w:t xml:space="preserve">atau</w:t>
      </w:r>
      <w:r>
        <w:t xml:space="preserve"> </w:t>
      </w:r>
      <w:r>
        <w:t xml:space="preserve">“limbah”</w:t>
      </w:r>
      <w:r>
        <w:t xml:space="preserve"> </w:t>
      </w:r>
      <w:r>
        <w:t xml:space="preserve">masih dihitung berbeda antar-unit, platform hanya akan menampilkan ketidakcocokan itu lebih cepat.</w:t>
      </w:r>
    </w:p>
    <w:p>
      <w:pPr>
        <w:pStyle w:val="Compact"/>
        <w:numPr>
          <w:ilvl w:val="0"/>
          <w:numId w:val="1002"/>
        </w:numPr>
      </w:pPr>
      <w:r>
        <w:rPr>
          <w:b/>
          <w:bCs/>
        </w:rPr>
        <w:t xml:space="preserve">Belum masuk kewajiban regulasi.</w:t>
      </w:r>
      <w:r>
        <w:t xml:space="preserve"> </w:t>
      </w:r>
      <w:r>
        <w:t xml:space="preserve">Perusahaan non-wajib berskala kecil bisa mulai dari spreadsheet terstruktur dengan definisi yang disiplin, lalu naik kelas saat volume dan tuntutan bertambah.</w:t>
      </w:r>
    </w:p>
    <w:p>
      <w:pPr>
        <w:pStyle w:val="Compact"/>
        <w:numPr>
          <w:ilvl w:val="0"/>
          <w:numId w:val="1002"/>
        </w:numPr>
      </w:pPr>
      <w:r>
        <w:rPr>
          <w:b/>
          <w:bCs/>
        </w:rPr>
        <w:t xml:space="preserve">Belum ada penanggung jawab data.</w:t>
      </w:r>
      <w:r>
        <w:t xml:space="preserve"> </w:t>
      </w:r>
      <w:r>
        <w:t xml:space="preserve">Tanpa orang yang bertanggung jawab atas tiap angka, jejak audit tetap kosong meski sistemnya canggih.</w:t>
      </w:r>
    </w:p>
    <w:p>
      <w:pPr>
        <w:pStyle w:val="FirstParagraph"/>
      </w:pPr>
      <w:r>
        <w:t xml:space="preserve">Bahaya yang perlu dihindari adalah</w:t>
      </w:r>
      <w:r>
        <w:t xml:space="preserve"> </w:t>
      </w:r>
      <w:r>
        <w:rPr>
          <w:i/>
          <w:iCs/>
        </w:rPr>
        <w:t xml:space="preserve">greenwashing by dashboard</w:t>
      </w:r>
      <w:r>
        <w:t xml:space="preserve">: laporan yang terlihat meyakinkan di layar padahal angkanya tidak bisa ditelusuri. Pertanyaan pertama auditor umumnya bukan</w:t>
      </w:r>
      <w:r>
        <w:t xml:space="preserve"> </w:t>
      </w:r>
      <w:r>
        <w:t xml:space="preserve">“berapa angkanya”</w:t>
      </w:r>
      <w:r>
        <w:t xml:space="preserve">, melainkan</w:t>
      </w:r>
      <w:r>
        <w:t xml:space="preserve"> </w:t>
      </w:r>
      <w:r>
        <w:t xml:space="preserve">“dari mana angkanya”</w:t>
      </w:r>
      <w:r>
        <w:t xml:space="preserve">. Perusahaan yang membenahi pencatatan dan tata kelola data lebih dulu akan jauh lebih siap ketika akhirnya berinvestasi pada platform.</w:t>
      </w:r>
    </w:p>
    <w:bookmarkEnd w:id="25"/>
    <w:bookmarkStart w:id="32" w:name="faq-pertanyaan-yang-sering-diajukan"/>
    <w:p>
      <w:pPr>
        <w:pStyle w:val="Heading2"/>
      </w:pPr>
      <w:r>
        <w:t xml:space="preserve">FAQ (Pertanyaan yang Sering Diajukan)</w:t>
      </w:r>
    </w:p>
    <w:bookmarkStart w:id="26" w:name="Xb73380ab837db989cd0c39d2b8d951f0583e3e2"/>
    <w:p>
      <w:pPr>
        <w:pStyle w:val="Heading3"/>
      </w:pPr>
      <w:r>
        <w:t xml:space="preserve">Apa itu laporan keberlanjutan dan apa bedanya dengan laporan tahunan?</w:t>
      </w:r>
    </w:p>
    <w:p>
      <w:pPr>
        <w:pStyle w:val="FirstParagraph"/>
      </w:pPr>
      <w:r>
        <w:t xml:space="preserve">Laporan keberlanjutan (</w:t>
      </w:r>
      <w:r>
        <w:rPr>
          <w:i/>
          <w:iCs/>
        </w:rPr>
        <w:t xml:space="preserve">sustainability report</w:t>
      </w:r>
      <w:r>
        <w:t xml:space="preserve">) mengungkapkan kinerja perusahaan pada aspek lingkungan, sosial, dan tata kelola (ESG) secara terukur. Laporan tahunan berfokus pada kinerja finansial dan operasional, sedangkan laporan keberlanjutan menyoroti dampak non-finansial seperti emisi, energi, limbah, dan ketenagakerjaan. Menurut POJK 51, keduanya bisa digabung atau dipisah; bila terpisah, laporan keberlanjutan wajib disampaikan ke OJK paling lambat 30 April tahun berikutnya.</w:t>
      </w:r>
    </w:p>
    <w:bookmarkEnd w:id="26"/>
    <w:bookmarkStart w:id="27" w:name="X72549a58d0993a984337c871412a1dd7dc2547f"/>
    <w:p>
      <w:pPr>
        <w:pStyle w:val="Heading3"/>
      </w:pPr>
      <w:r>
        <w:t xml:space="preserve">Siapa yang wajib membuat laporan keberlanjutan menurut POJK 51?</w:t>
      </w:r>
    </w:p>
    <w:p>
      <w:pPr>
        <w:pStyle w:val="FirstParagraph"/>
      </w:pPr>
      <w:r>
        <w:t xml:space="preserve">POJK 51/POJK.03/2017 mewajibkan tiga kelompok: Lembaga Jasa Keuangan (LJK, seperti bank dan perusahaan pembiayaan), emiten, dan perusahaan publik. LJK bahkan wajib menyampaikan dua dokumen ke OJK, yaitu Rencana Aksi Keuangan Berkelanjutan (RAKB) dan Laporan Keberlanjutan. Ke depan, pengungkapan diperkuat oleh Standar Pengungkapan Keberlanjutan (PSPK 1 &amp; 2) yang berlaku efektif 1 Januari 2027 dan selaras dengan IFRS S1/S2.</w:t>
      </w:r>
    </w:p>
    <w:bookmarkEnd w:id="27"/>
    <w:bookmarkStart w:id="28" w:name="apa-itu-emisi-scope-1-2-dan-3"/>
    <w:p>
      <w:pPr>
        <w:pStyle w:val="Heading3"/>
      </w:pPr>
      <w:r>
        <w:t xml:space="preserve">Apa itu emisi scope 1, 2, dan 3?</w:t>
      </w:r>
    </w:p>
    <w:p>
      <w:pPr>
        <w:pStyle w:val="FirstParagraph"/>
      </w:pPr>
      <w:r>
        <w:t xml:space="preserve">Klasifikasi ini berasal dari GHG Protocol. Scope 1 adalah emisi langsung dari sumber yang dimiliki atau dikendalikan perusahaan, misalnya BBM kendaraan dan boiler. Scope 2 adalah emisi tidak langsung dari energi yang dibeli seperti listrik dan uap. Scope 3 adalah emisi rantai nilai di luar kendali langsung, dari supplier hingga penggunaan produk; terbagi dalam 15 kategori dan sering mencapai 70-90% total emisi, sehingga paling sulit dikumpulkan.</w:t>
      </w:r>
    </w:p>
    <w:bookmarkEnd w:id="28"/>
    <w:bookmarkStart w:id="29" w:name="apa-perbedaan-gri-dan-ifrs-s1s2-issb"/>
    <w:p>
      <w:pPr>
        <w:pStyle w:val="Heading3"/>
      </w:pPr>
      <w:r>
        <w:t xml:space="preserve">Apa perbedaan GRI dan IFRS S1/S2 (ISSB)?</w:t>
      </w:r>
    </w:p>
    <w:p>
      <w:pPr>
        <w:pStyle w:val="FirstParagraph"/>
      </w:pPr>
      <w:r>
        <w:t xml:space="preserve">GRI berfokus pada dampak perusahaan terhadap lingkungan dan masyarakat, dengan audiens multi-pemangku kepentingan (materialitas dampak). IFRS S1/S2 dari ISSB berfokus pada risiko dan peluang keberlanjutan yang material secara finansial bagi investor (materialitas finansial). Di Indonesia, standar nasional PSPK 1 &amp; 2 dibangun konvergen dengan IFRS S1/S2 dan berlaku 1 Januari 2027. Banyak perusahaan memakai keduanya secara komplementer.</w:t>
      </w:r>
    </w:p>
    <w:bookmarkEnd w:id="29"/>
    <w:bookmarkStart w:id="30" w:name="X15e33527f8ab4bd1d5cdf073ab8ab31a8f6e2f9"/>
    <w:p>
      <w:pPr>
        <w:pStyle w:val="Heading3"/>
      </w:pPr>
      <w:r>
        <w:t xml:space="preserve">Bagaimana membuat data ESG yang bisa diaudit?</w:t>
      </w:r>
    </w:p>
    <w:p>
      <w:pPr>
        <w:pStyle w:val="FirstParagraph"/>
      </w:pPr>
      <w:r>
        <w:t xml:space="preserve">Data ESG yang auditable menuntut jejak audit yang jelas: setiap angka punya sumber, penanggung jawab input, tanggal, dan metode penghitungan yang konsisten. Kuncinya menetapkan satu definisi metrik (</w:t>
      </w:r>
      <w:r>
        <w:rPr>
          <w:i/>
          <w:iCs/>
        </w:rPr>
        <w:t xml:space="preserve">single source of truth</w:t>
      </w:r>
      <w:r>
        <w:t xml:space="preserve">), mengonsolidasikan data ke satu repositori alih-alih spreadsheet tersebar, dan menyimpan lineage data. Pertanyaan pertama auditor umumnya bukan</w:t>
      </w:r>
      <w:r>
        <w:t xml:space="preserve"> </w:t>
      </w:r>
      <w:r>
        <w:t xml:space="preserve">“berapa angkanya”</w:t>
      </w:r>
      <w:r>
        <w:t xml:space="preserve">, melainkan</w:t>
      </w:r>
      <w:r>
        <w:t xml:space="preserve"> </w:t>
      </w:r>
      <w:r>
        <w:t xml:space="preserve">“dari mana angkanya”</w:t>
      </w:r>
      <w:r>
        <w:t xml:space="preserve">.</w:t>
      </w:r>
    </w:p>
    <w:bookmarkEnd w:id="30"/>
    <w:bookmarkStart w:id="31" w:name="Xa42a2f1e333a84ee418b39f9eb54928751c434a"/>
    <w:p>
      <w:pPr>
        <w:pStyle w:val="Heading3"/>
      </w:pPr>
      <w:r>
        <w:t xml:space="preserve">Apakah butuh platform ESG khusus, atau cukup BI seperti SAP Analytics Cloud?</w:t>
      </w:r>
    </w:p>
    <w:p>
      <w:pPr>
        <w:pStyle w:val="FirstParagraph"/>
      </w:pPr>
      <w:r>
        <w:t xml:space="preserve">Bergantung pada kematangan data dan status kewajiban. SAP Analytics Cloud adalah lapisan pelaporan dan dashboard; ia memvisualisasi dan mendistribusikan laporan, bukan menghitung emisi. Penghitungan dan pengumpulan data emisi ditangani produk keberlanjutan SAP seperti SAP Sustainability Control Tower atau Footprint Management. Perusahaan yang belum wajib atau datanya belum rapi sebaiknya membenahi pencatatan dulu sebelum berinvestasi pada platform.</w:t>
      </w:r>
    </w:p>
    <w:bookmarkEnd w:id="31"/>
    <w:bookmarkEnd w:id="32"/>
    <w:bookmarkStart w:id="33" w:name="kesimpulan"/>
    <w:p>
      <w:pPr>
        <w:pStyle w:val="Heading2"/>
      </w:pPr>
      <w:r>
        <w:t xml:space="preserve">Kesimpulan</w:t>
      </w:r>
    </w:p>
    <w:p>
      <w:pPr>
        <w:pStyle w:val="FirstParagraph"/>
      </w:pPr>
      <w:r>
        <w:t xml:space="preserve">Laporan keberlanjutan sudah bergeser dari cerita program menjadi angka yang harus konsisten dan tahan audit, dan tekanan itu akan mengeras begitu SPK berlaku efektif pada 2027. Perusahaan yang menang bukan yang punya dashboard paling menawan, melainkan yang tata kelola datanya rapi di hulu, sehingga setiap angka bisa dijelaskan asal-usulnya. Business Intelligence adalah lapisan yang menyatukan data ESG tersebar menjadi laporan yang dapat dipertanggungjawabkan. Melalui layanan Data and AI Consulting, Soltius membantu perusahaan menata data keberlanjutan menjadi satu sumber yang konsisten dan dapat diaudit, lalu memvisualisasikannya di SAP Analytics Cloud untuk pelaporan ESG, sebagai mitra yang mengimplementasikan dan mengintegrasikan teknologi SAP, bukan lembaga verifikasi laporan.</w:t>
      </w:r>
    </w:p>
    <w:p>
      <w:pPr>
        <w:pStyle w:val="BodyText"/>
      </w:pPr>
      <w:r>
        <w:t xml:space="preserve">Untuk mendiskusikan kesiapan data keberlanjutan perusahaan Anda menghadapi POJK 51 dan SPK 2027, jelajahi solusi analitik dan tata kelola data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ghgprotocol.org/corporate-value-chain-scope-3-standard" TargetMode="External" /><Relationship Type="http://schemas.openxmlformats.org/officeDocument/2006/relationships/hyperlink" Id="rId18" Target="https://www.ojk.go.id/sustainable-finance/id/peraturan/peraturan-ojk/Documents/SAL%20POJK%2051%20-%20keuangan%20berkelanjutan.pdf" TargetMode="External" /><Relationship Type="http://schemas.openxmlformats.org/officeDocument/2006/relationships/hyperlink" Id="rId20" Target="https://www.soltius.co.id/id/blog/low-code-and-no-code-platforms" TargetMode="External" /><Relationship Type="http://schemas.openxmlformats.org/officeDocument/2006/relationships/hyperlink" Id="rId23" Target="https://www.soltius.co.id/id/blog/sistem-manajemen-vendor" TargetMode="External" /></Relationships>
</file>

<file path=word/_rels/footnotes.xml.rels><?xml version="1.0" encoding="UTF-8"?><Relationships xmlns="http://schemas.openxmlformats.org/package/2006/relationships"><Relationship Type="http://schemas.openxmlformats.org/officeDocument/2006/relationships/hyperlink" Id="rId22" Target="https://ghgprotocol.org/corporate-value-chain-scope-3-standard" TargetMode="External" /><Relationship Type="http://schemas.openxmlformats.org/officeDocument/2006/relationships/hyperlink" Id="rId18" Target="https://www.ojk.go.id/sustainable-finance/id/peraturan/peraturan-ojk/Documents/SAL%20POJK%2051%20-%20keuangan%20berkelanjutan.pdf" TargetMode="External" /><Relationship Type="http://schemas.openxmlformats.org/officeDocument/2006/relationships/hyperlink" Id="rId20" Target="https://www.soltius.co.id/id/blog/low-code-and-no-code-platforms" TargetMode="External" /><Relationship Type="http://schemas.openxmlformats.org/officeDocument/2006/relationships/hyperlink" Id="rId23" Target="https://www.soltius.co.id/id/blog/sistem-manajemen-vend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2026-09-22T01:39:23Z</dcterms:created>
  <dcterms:modified xsi:type="dcterms:W3CDTF">2026-09-22T01:39:23Z</dcterms:modified>
</cp:coreProperties>
</file>

<file path=docProps/custom.xml><?xml version="1.0" encoding="utf-8"?>
<Properties xmlns="http://schemas.openxmlformats.org/officeDocument/2006/custom-properties" xmlns:vt="http://schemas.openxmlformats.org/officeDocument/2006/docPropsVTypes"/>
</file>