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b/>
          <w:bCs/>
          <w:color w:val="0B2A4A"/>
          <w:sz w:val="96"/>
          <w:szCs w:val="96"/>
        </w:rPr>
        <w:t xml:space="preserve">SOLTIUS</w:t>
      </w:r>
    </w:p>
    <w:p>
      <w:pPr>
        <w:spacing w:after="40"/>
        <w:jc w:val="center"/>
      </w:pPr>
      <w:r>
        <w:rPr>
          <w:b/>
          <w:bCs/>
          <w:color w:val="1E6FB8"/>
          <w:sz w:val="30"/>
          <w:szCs w:val="30"/>
        </w:rPr>
        <w:t xml:space="preserve">I N D O N E S I A</w:t>
      </w:r>
    </w:p>
    <w:p>
      <w:pPr>
        <w:pBdr>
          <w:top w:val="single" w:color="F2A03D" w:sz="8" w:space="6"/>
        </w:pBdr>
        <w:spacing w:after="60" w:before="200"/>
        <w:jc w:val="center"/>
      </w:pPr>
      <w:r>
        <w:rPr>
          <w:b/>
          <w:bCs/>
          <w:color w:val="333333"/>
          <w:sz w:val="36"/>
          <w:szCs w:val="36"/>
        </w:rPr>
        <w:t xml:space="preserve">COMPANY PROFILE</w:t>
      </w:r>
    </w:p>
    <w:p>
      <w:pPr>
        <w:spacing w:after="1000"/>
        <w:jc w:val="center"/>
      </w:pPr>
      <w:r>
        <w:rPr>
          <w:i/>
          <w:iCs/>
          <w:color w:val="5A6B7B"/>
          <w:sz w:val="24"/>
          <w:szCs w:val="24"/>
        </w:rPr>
        <w:t xml:space="preserve">Penyedia Solusi Bisnis Berbasis IT &amp; Mitra SAP Terkemuka di Indonesia</w:t>
      </w:r>
    </w:p>
    <w:p>
      <w:pPr>
        <w:spacing w:after="60"/>
        <w:jc w:val="center"/>
      </w:pPr>
      <w:r>
        <w:rPr>
          <w:color w:val="1E6FB8"/>
          <w:sz w:val="22"/>
          <w:szCs w:val="22"/>
        </w:rPr>
        <w:t xml:space="preserve">SAP ERP  •  Cloud Solutions  •  Digital Transformation</w:t>
      </w:r>
    </w:p>
    <w:p>
      <w:pPr>
        <w:jc w:val="center"/>
      </w:pPr>
      <w:r>
        <w:rPr>
          <w:color w:val="5A6B7B"/>
          <w:sz w:val="20"/>
          <w:szCs w:val="20"/>
        </w:rPr>
        <w:t xml:space="preserve">Anak Perusahaan PT Metrodata Electronics Tbk  |  SAP Platinum Partner</w:t>
      </w:r>
    </w:p>
    <w:p>
      <w:pPr>
        <w:spacing w:before="1200"/>
        <w:jc w:val="center"/>
      </w:pPr>
      <w:r>
        <w:rPr>
          <w:b/>
          <w:bCs/>
          <w:color w:val="1E6FB8"/>
          <w:sz w:val="22"/>
          <w:szCs w:val="22"/>
        </w:rPr>
        <w:t xml:space="preserve">www.soltius.co.id</w:t>
      </w:r>
    </w:p>
    <w:p>
      <w:r>
        <w:br w:type="page"/>
      </w:r>
    </w:p>
    <w:p>
      <w:pPr>
        <w:pStyle w:val="Heading1"/>
      </w:pPr>
      <w:r>
        <w:t xml:space="preserve">Sekilas Perusahaan</w:t>
      </w:r>
    </w:p>
    <w:p>
      <w:pPr>
        <w:spacing w:after="160" w:line="276"/>
      </w:pPr>
      <w:r>
        <w:rPr>
          <w:color w:val="333333"/>
          <w:sz w:val="22"/>
          <w:szCs w:val="22"/>
        </w:rPr>
        <w:t xml:space="preserve">PT Soltius Indonesia adalah salah satu penyedia solusi bisnis berbasis teknologi informasi terkemuka di Indonesia dan kawasan regional. Didirikan pada tahun 1998, Soltius telah tumbuh menjadi perusahaan layanan IT end-to-end yang berhasil mendampingi banyak organisasi melewati proses perubahan dan transformasi digital.</w:t>
      </w:r>
    </w:p>
    <w:p>
      <w:pPr>
        <w:spacing w:after="160" w:line="276"/>
      </w:pPr>
      <w:r>
        <w:rPr>
          <w:color w:val="333333"/>
          <w:sz w:val="22"/>
          <w:szCs w:val="22"/>
        </w:rPr>
        <w:t xml:space="preserve">Selama hampir tiga dekade, Soltius berfokus pada penerapan program transformasi bisnis yang berkualitas tinggi namun tetap terjangkau, bagi klien mulai dari usaha kecil dan menengah (UKM) hingga perusahaan skala besar di berbagai industri utama. Pengalaman yang terbukti dalam mengimplementasikan solusi aplikasi bisnis SAP menjadikan Soltius sebagai salah satu firma konsultan SAP paling terkemuka di Indonesia.</w:t>
      </w:r>
    </w:p>
    <w:p>
      <w:pPr>
        <w:spacing w:after="200" w:line="276"/>
      </w:pPr>
      <w:r>
        <w:rPr>
          <w:color w:val="333333"/>
          <w:sz w:val="22"/>
          <w:szCs w:val="22"/>
        </w:rPr>
        <w:t xml:space="preserve">Saat ini Soltius merupakan SAP Platinum Certified Channel Partner &amp; Value Added Reseller, sekaligus Certified SAP Value Added Reseller Support Centre, dan berstatus sebagai Certified National Implementation Partner. Perusahaan ini juga merupakan anggota dari United VARs, aliansi penyedia solusi SAP terkemuka untuk segmen mid-market dengan status SAP Platinum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E2EC" w:sz="1"/>
              <w:left w:val="single" w:color="D9E2EC" w:sz="1"/>
              <w:bottom w:val="single" w:color="D9E2EC" w:sz="1"/>
              <w:right w:val="single" w:color="D9E2EC" w:sz="1"/>
            </w:tcBorders>
            <w:shd w:fill="E8F1FA" w:val="clear"/>
            <w:tcMar>
              <w:top w:type="dxa" w:w="160"/>
              <w:left w:type="dxa" w:w="120"/>
              <w:bottom w:type="dxa" w:w="160"/>
              <w:right w:type="dxa" w:w="120"/>
            </w:tcMar>
            <w:vAlign w:val="center"/>
          </w:tcPr>
          <w:p>
            <w:pPr>
              <w:spacing w:after="40"/>
              <w:jc w:val="center"/>
            </w:pPr>
            <w:r>
              <w:rPr>
                <w:b/>
                <w:bCs/>
                <w:color w:val="1E6FB8"/>
                <w:sz w:val="40"/>
                <w:szCs w:val="40"/>
              </w:rPr>
              <w:t xml:space="preserve">1998</w:t>
            </w:r>
          </w:p>
          <w:p>
            <w:pPr>
              <w:jc w:val="center"/>
            </w:pPr>
            <w:r>
              <w:rPr>
                <w:color w:val="5A6B7B"/>
                <w:sz w:val="18"/>
                <w:szCs w:val="18"/>
              </w:rPr>
              <w:t xml:space="preserve">Tahun Berdiri</w:t>
            </w:r>
          </w:p>
        </w:tc>
        <w:tc>
          <w:tcPr>
            <w:tcW w:type="dxa" w:w="3120"/>
            <w:tcBorders>
              <w:top w:val="single" w:color="D9E2EC" w:sz="1"/>
              <w:left w:val="single" w:color="D9E2EC" w:sz="1"/>
              <w:bottom w:val="single" w:color="D9E2EC" w:sz="1"/>
              <w:right w:val="single" w:color="D9E2EC" w:sz="1"/>
            </w:tcBorders>
            <w:shd w:fill="E8F1FA" w:val="clear"/>
            <w:tcMar>
              <w:top w:type="dxa" w:w="160"/>
              <w:left w:type="dxa" w:w="120"/>
              <w:bottom w:type="dxa" w:w="160"/>
              <w:right w:type="dxa" w:w="120"/>
            </w:tcMar>
            <w:vAlign w:val="center"/>
          </w:tcPr>
          <w:p>
            <w:pPr>
              <w:spacing w:after="40"/>
              <w:jc w:val="center"/>
            </w:pPr>
            <w:r>
              <w:rPr>
                <w:b/>
                <w:bCs/>
                <w:color w:val="1E6FB8"/>
                <w:sz w:val="40"/>
                <w:szCs w:val="40"/>
              </w:rPr>
              <w:t xml:space="preserve">200+</w:t>
            </w:r>
          </w:p>
          <w:p>
            <w:pPr>
              <w:jc w:val="center"/>
            </w:pPr>
            <w:r>
              <w:rPr>
                <w:color w:val="5A6B7B"/>
                <w:sz w:val="18"/>
                <w:szCs w:val="18"/>
              </w:rPr>
              <w:t xml:space="preserve">Konsultan Profesional</w:t>
            </w:r>
          </w:p>
        </w:tc>
        <w:tc>
          <w:tcPr>
            <w:tcW w:type="dxa" w:w="3120"/>
            <w:tcBorders>
              <w:top w:val="single" w:color="D9E2EC" w:sz="1"/>
              <w:left w:val="single" w:color="D9E2EC" w:sz="1"/>
              <w:bottom w:val="single" w:color="D9E2EC" w:sz="1"/>
              <w:right w:val="single" w:color="D9E2EC" w:sz="1"/>
            </w:tcBorders>
            <w:shd w:fill="E8F1FA" w:val="clear"/>
            <w:tcMar>
              <w:top w:type="dxa" w:w="160"/>
              <w:left w:type="dxa" w:w="120"/>
              <w:bottom w:type="dxa" w:w="160"/>
              <w:right w:type="dxa" w:w="120"/>
            </w:tcMar>
            <w:vAlign w:val="center"/>
          </w:tcPr>
          <w:p>
            <w:pPr>
              <w:spacing w:after="40"/>
              <w:jc w:val="center"/>
            </w:pPr>
            <w:r>
              <w:rPr>
                <w:b/>
                <w:bCs/>
                <w:color w:val="1E6FB8"/>
                <w:sz w:val="40"/>
                <w:szCs w:val="40"/>
              </w:rPr>
              <w:t xml:space="preserve">120+</w:t>
            </w:r>
          </w:p>
          <w:p>
            <w:pPr>
              <w:jc w:val="center"/>
            </w:pPr>
            <w:r>
              <w:rPr>
                <w:color w:val="5A6B7B"/>
                <w:sz w:val="18"/>
                <w:szCs w:val="18"/>
              </w:rPr>
              <w:t xml:space="preserve">Klien di Indonesia &amp; Regional</w:t>
            </w:r>
          </w:p>
        </w:tc>
      </w:tr>
    </w:tbl>
    <w:p>
      <w:pPr>
        <w:pStyle w:val="Heading2"/>
      </w:pPr>
      <w:r>
        <w:t xml:space="preserve">Identitas Perusahaan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E2EC" w:sz="1"/>
              <w:left w:val="single" w:color="D9E2EC" w:sz="1"/>
              <w:bottom w:val="single" w:color="D9E2EC" w:sz="1"/>
              <w:right w:val="single" w:color="D9E2EC" w:sz="1"/>
            </w:tcBorders>
            <w:shd w:fill="E8F1FA" w:val="clear"/>
            <w:tcMar>
              <w:top w:type="dxa" w:w="90"/>
              <w:left w:type="dxa" w:w="140"/>
              <w:bottom w:type="dxa" w:w="90"/>
              <w:right w:type="dxa" w:w="120"/>
            </w:tcMar>
          </w:tcPr>
          <w:p>
            <w:r>
              <w:rPr>
                <w:b/>
                <w:bCs/>
                <w:color w:val="0B2A4A"/>
                <w:sz w:val="20"/>
                <w:szCs w:val="20"/>
              </w:rPr>
              <w:t xml:space="preserve">Nama Perusahaan</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PT Soltius Indonesia</w:t>
            </w:r>
          </w:p>
        </w:tc>
      </w:tr>
      <w:tr>
        <w:tc>
          <w:tcPr>
            <w:tcW w:type="dxa" w:w="2800"/>
            <w:tcBorders>
              <w:top w:val="single" w:color="D9E2EC" w:sz="1"/>
              <w:left w:val="single" w:color="D9E2EC" w:sz="1"/>
              <w:bottom w:val="single" w:color="D9E2EC" w:sz="1"/>
              <w:right w:val="single" w:color="D9E2EC" w:sz="1"/>
            </w:tcBorders>
            <w:shd w:fill="FFFFFF" w:val="clear"/>
            <w:tcMar>
              <w:top w:type="dxa" w:w="90"/>
              <w:left w:type="dxa" w:w="140"/>
              <w:bottom w:type="dxa" w:w="90"/>
              <w:right w:type="dxa" w:w="120"/>
            </w:tcMar>
          </w:tcPr>
          <w:p>
            <w:r>
              <w:rPr>
                <w:b/>
                <w:bCs/>
                <w:color w:val="0B2A4A"/>
                <w:sz w:val="20"/>
                <w:szCs w:val="20"/>
              </w:rPr>
              <w:t xml:space="preserve">Bidang Usaha</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Penyedia layanan &amp; solusi bisnis berbasis Teknologi Informasi (IT)</w:t>
            </w:r>
          </w:p>
        </w:tc>
      </w:tr>
      <w:tr>
        <w:tc>
          <w:tcPr>
            <w:tcW w:type="dxa" w:w="2800"/>
            <w:tcBorders>
              <w:top w:val="single" w:color="D9E2EC" w:sz="1"/>
              <w:left w:val="single" w:color="D9E2EC" w:sz="1"/>
              <w:bottom w:val="single" w:color="D9E2EC" w:sz="1"/>
              <w:right w:val="single" w:color="D9E2EC" w:sz="1"/>
            </w:tcBorders>
            <w:shd w:fill="E8F1FA" w:val="clear"/>
            <w:tcMar>
              <w:top w:type="dxa" w:w="90"/>
              <w:left w:type="dxa" w:w="140"/>
              <w:bottom w:type="dxa" w:w="90"/>
              <w:right w:type="dxa" w:w="120"/>
            </w:tcMar>
          </w:tcPr>
          <w:p>
            <w:r>
              <w:rPr>
                <w:b/>
                <w:bCs/>
                <w:color w:val="0B2A4A"/>
                <w:sz w:val="20"/>
                <w:szCs w:val="20"/>
              </w:rPr>
              <w:t xml:space="preserve">Spesialisasi</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SAP ERP, Cloud Solutions, Business Intelligence/Analytics, CRM, Digital Transformation</w:t>
            </w:r>
          </w:p>
        </w:tc>
      </w:tr>
      <w:tr>
        <w:tc>
          <w:tcPr>
            <w:tcW w:type="dxa" w:w="2800"/>
            <w:tcBorders>
              <w:top w:val="single" w:color="D9E2EC" w:sz="1"/>
              <w:left w:val="single" w:color="D9E2EC" w:sz="1"/>
              <w:bottom w:val="single" w:color="D9E2EC" w:sz="1"/>
              <w:right w:val="single" w:color="D9E2EC" w:sz="1"/>
            </w:tcBorders>
            <w:shd w:fill="FFFFFF" w:val="clear"/>
            <w:tcMar>
              <w:top w:type="dxa" w:w="90"/>
              <w:left w:type="dxa" w:w="140"/>
              <w:bottom w:type="dxa" w:w="90"/>
              <w:right w:type="dxa" w:w="120"/>
            </w:tcMar>
          </w:tcPr>
          <w:p>
            <w:r>
              <w:rPr>
                <w:b/>
                <w:bCs/>
                <w:color w:val="0B2A4A"/>
                <w:sz w:val="20"/>
                <w:szCs w:val="20"/>
              </w:rPr>
              <w:t xml:space="preserve">Berdiri</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1998 (hampir 3 dekade pengalaman)</w:t>
            </w:r>
          </w:p>
        </w:tc>
      </w:tr>
      <w:tr>
        <w:tc>
          <w:tcPr>
            <w:tcW w:type="dxa" w:w="2800"/>
            <w:tcBorders>
              <w:top w:val="single" w:color="D9E2EC" w:sz="1"/>
              <w:left w:val="single" w:color="D9E2EC" w:sz="1"/>
              <w:bottom w:val="single" w:color="D9E2EC" w:sz="1"/>
              <w:right w:val="single" w:color="D9E2EC" w:sz="1"/>
            </w:tcBorders>
            <w:shd w:fill="E8F1FA" w:val="clear"/>
            <w:tcMar>
              <w:top w:type="dxa" w:w="90"/>
              <w:left w:type="dxa" w:w="140"/>
              <w:bottom w:type="dxa" w:w="90"/>
              <w:right w:type="dxa" w:w="120"/>
            </w:tcMar>
          </w:tcPr>
          <w:p>
            <w:r>
              <w:rPr>
                <w:b/>
                <w:bCs/>
                <w:color w:val="0B2A4A"/>
                <w:sz w:val="20"/>
                <w:szCs w:val="20"/>
              </w:rPr>
              <w:t xml:space="preserve">Status Grup</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Anak perusahaan strategis PT Metrodata Electronics Tbk (kepemilikan 99,9%)</w:t>
            </w:r>
          </w:p>
        </w:tc>
      </w:tr>
      <w:tr>
        <w:tc>
          <w:tcPr>
            <w:tcW w:type="dxa" w:w="2800"/>
            <w:tcBorders>
              <w:top w:val="single" w:color="D9E2EC" w:sz="1"/>
              <w:left w:val="single" w:color="D9E2EC" w:sz="1"/>
              <w:bottom w:val="single" w:color="D9E2EC" w:sz="1"/>
              <w:right w:val="single" w:color="D9E2EC" w:sz="1"/>
            </w:tcBorders>
            <w:shd w:fill="FFFFFF" w:val="clear"/>
            <w:tcMar>
              <w:top w:type="dxa" w:w="90"/>
              <w:left w:type="dxa" w:w="140"/>
              <w:bottom w:type="dxa" w:w="90"/>
              <w:right w:type="dxa" w:w="120"/>
            </w:tcMar>
          </w:tcPr>
          <w:p>
            <w:r>
              <w:rPr>
                <w:b/>
                <w:bCs/>
                <w:color w:val="0B2A4A"/>
                <w:sz w:val="20"/>
                <w:szCs w:val="20"/>
              </w:rPr>
              <w:t xml:space="preserve">Status Kemitraan SAP</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SAP Platinum Certified Channel Partner &amp; Value Added Reseller; Certified National Implementation Partner</w:t>
            </w:r>
          </w:p>
        </w:tc>
      </w:tr>
      <w:tr>
        <w:tc>
          <w:tcPr>
            <w:tcW w:type="dxa" w:w="2800"/>
            <w:tcBorders>
              <w:top w:val="single" w:color="D9E2EC" w:sz="1"/>
              <w:left w:val="single" w:color="D9E2EC" w:sz="1"/>
              <w:bottom w:val="single" w:color="D9E2EC" w:sz="1"/>
              <w:right w:val="single" w:color="D9E2EC" w:sz="1"/>
            </w:tcBorders>
            <w:shd w:fill="E8F1FA" w:val="clear"/>
            <w:tcMar>
              <w:top w:type="dxa" w:w="90"/>
              <w:left w:type="dxa" w:w="140"/>
              <w:bottom w:type="dxa" w:w="90"/>
              <w:right w:type="dxa" w:w="120"/>
            </w:tcMar>
          </w:tcPr>
          <w:p>
            <w:r>
              <w:rPr>
                <w:b/>
                <w:bCs/>
                <w:color w:val="0B2A4A"/>
                <w:sz w:val="20"/>
                <w:szCs w:val="20"/>
              </w:rPr>
              <w:t xml:space="preserve">Keanggotaan</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United VARs (aliansi global penyedia solusi SAP untuk mid-market)</w:t>
            </w:r>
          </w:p>
        </w:tc>
      </w:tr>
      <w:tr>
        <w:tc>
          <w:tcPr>
            <w:tcW w:type="dxa" w:w="2800"/>
            <w:tcBorders>
              <w:top w:val="single" w:color="D9E2EC" w:sz="1"/>
              <w:left w:val="single" w:color="D9E2EC" w:sz="1"/>
              <w:bottom w:val="single" w:color="D9E2EC" w:sz="1"/>
              <w:right w:val="single" w:color="D9E2EC" w:sz="1"/>
            </w:tcBorders>
            <w:shd w:fill="FFFFFF" w:val="clear"/>
            <w:tcMar>
              <w:top w:type="dxa" w:w="90"/>
              <w:left w:type="dxa" w:w="140"/>
              <w:bottom w:type="dxa" w:w="90"/>
              <w:right w:type="dxa" w:w="120"/>
            </w:tcMar>
          </w:tcPr>
          <w:p>
            <w:r>
              <w:rPr>
                <w:b/>
                <w:bCs/>
                <w:color w:val="0B2A4A"/>
                <w:sz w:val="20"/>
                <w:szCs w:val="20"/>
              </w:rPr>
              <w:t xml:space="preserve">Kantor Pusat</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Soho Capital @Podomoro City, Lantai 15 Suite SC-1503-05</w:t>
            </w:r>
          </w:p>
          <w:p>
            <w:r>
              <w:rPr>
                <w:color w:val="333333"/>
                <w:sz w:val="20"/>
                <w:szCs w:val="20"/>
              </w:rPr>
              <w:t xml:space="preserve">Jl. Letjen S. Parman Kav. 28, Tanjung Duren Selatan,</w:t>
            </w:r>
          </w:p>
          <w:p>
            <w:r>
              <w:rPr>
                <w:color w:val="333333"/>
                <w:sz w:val="20"/>
                <w:szCs w:val="20"/>
              </w:rPr>
              <w:t xml:space="preserve">Grogol Petamburan, Jakarta Barat 11470</w:t>
            </w:r>
          </w:p>
        </w:tc>
      </w:tr>
      <w:tr>
        <w:tc>
          <w:tcPr>
            <w:tcW w:type="dxa" w:w="2800"/>
            <w:tcBorders>
              <w:top w:val="single" w:color="D9E2EC" w:sz="1"/>
              <w:left w:val="single" w:color="D9E2EC" w:sz="1"/>
              <w:bottom w:val="single" w:color="D9E2EC" w:sz="1"/>
              <w:right w:val="single" w:color="D9E2EC" w:sz="1"/>
            </w:tcBorders>
            <w:shd w:fill="E8F1FA" w:val="clear"/>
            <w:tcMar>
              <w:top w:type="dxa" w:w="90"/>
              <w:left w:type="dxa" w:w="140"/>
              <w:bottom w:type="dxa" w:w="90"/>
              <w:right w:type="dxa" w:w="120"/>
            </w:tcMar>
          </w:tcPr>
          <w:p>
            <w:r>
              <w:rPr>
                <w:b/>
                <w:bCs/>
                <w:color w:val="0B2A4A"/>
                <w:sz w:val="20"/>
                <w:szCs w:val="20"/>
              </w:rPr>
              <w:t xml:space="preserve">Telepon</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+62 21 29345 900  |  Sales: +62 21 29345 925  |  Fax: +62 21 29345 909</w:t>
            </w:r>
          </w:p>
        </w:tc>
      </w:tr>
      <w:tr>
        <w:tc>
          <w:tcPr>
            <w:tcW w:type="dxa" w:w="2800"/>
            <w:tcBorders>
              <w:top w:val="single" w:color="D9E2EC" w:sz="1"/>
              <w:left w:val="single" w:color="D9E2EC" w:sz="1"/>
              <w:bottom w:val="single" w:color="D9E2EC" w:sz="1"/>
              <w:right w:val="single" w:color="D9E2EC" w:sz="1"/>
            </w:tcBorders>
            <w:shd w:fill="FFFFFF" w:val="clear"/>
            <w:tcMar>
              <w:top w:type="dxa" w:w="90"/>
              <w:left w:type="dxa" w:w="140"/>
              <w:bottom w:type="dxa" w:w="90"/>
              <w:right w:type="dxa" w:w="120"/>
            </w:tcMar>
          </w:tcPr>
          <w:p>
            <w:r>
              <w:rPr>
                <w:b/>
                <w:bCs/>
                <w:color w:val="0B2A4A"/>
                <w:sz w:val="20"/>
                <w:szCs w:val="20"/>
              </w:rPr>
              <w:t xml:space="preserve">Website</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www.soltius.co.id</w:t>
            </w:r>
          </w:p>
        </w:tc>
      </w:tr>
    </w:tbl>
    <w:p>
      <w:r>
        <w:br w:type="page"/>
      </w:r>
    </w:p>
    <w:p>
      <w:pPr>
        <w:pStyle w:val="Heading1"/>
      </w:pPr>
      <w:r>
        <w:t xml:space="preserve">Sejarah &amp; Milestone</w:t>
      </w:r>
    </w:p>
    <w:p>
      <w:pPr>
        <w:spacing w:after="160" w:line="276"/>
      </w:pPr>
      <w:r>
        <w:rPr>
          <w:color w:val="333333"/>
          <w:sz w:val="22"/>
          <w:szCs w:val="22"/>
        </w:rPr>
        <w:t xml:space="preserve">Perjalanan Soltius mencerminkan pertumbuhan yang konsisten dari sebuah perusahaan IT lokal menjadi salah satu pemain utama dalam ekosistem SAP di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9E2EC" w:sz="1"/>
              <w:left w:val="single" w:color="D9E2EC" w:sz="1"/>
              <w:bottom w:val="single" w:color="D9E2EC" w:sz="1"/>
              <w:right w:val="single" w:color="D9E2EC" w:sz="1"/>
            </w:tcBorders>
            <w:shd w:fill="0B2A4A" w:val="clear"/>
            <w:tcMar>
              <w:top w:type="dxa" w:w="100"/>
              <w:left w:type="dxa" w:w="120"/>
              <w:bottom w:type="dxa" w:w="100"/>
              <w:right w:type="dxa" w:w="100"/>
            </w:tcMar>
            <w:vAlign w:val="center"/>
          </w:tcPr>
          <w:p>
            <w:pPr>
              <w:jc w:val="center"/>
            </w:pPr>
            <w:r>
              <w:rPr>
                <w:b/>
                <w:bCs/>
                <w:color w:val="FFFFFF"/>
                <w:sz w:val="22"/>
                <w:szCs w:val="22"/>
              </w:rPr>
              <w:t xml:space="preserve">1998</w:t>
            </w:r>
          </w:p>
        </w:tc>
        <w:tc>
          <w:tcPr>
            <w:tcW w:type="dxa" w:w="7860"/>
            <w:tcBorders>
              <w:top w:val="single" w:color="D9E2EC" w:sz="1"/>
              <w:left w:val="single" w:color="D9E2EC" w:sz="1"/>
              <w:bottom w:val="single" w:color="D9E2EC" w:sz="1"/>
              <w:right w:val="single" w:color="D9E2EC" w:sz="1"/>
            </w:tcBorders>
            <w:tcMar>
              <w:top w:type="dxa" w:w="100"/>
              <w:left w:type="dxa" w:w="140"/>
              <w:bottom w:type="dxa" w:w="100"/>
              <w:right w:type="dxa" w:w="120"/>
            </w:tcMar>
          </w:tcPr>
          <w:p>
            <w:r>
              <w:rPr>
                <w:color w:val="333333"/>
                <w:sz w:val="20"/>
                <w:szCs w:val="20"/>
              </w:rPr>
              <w:t xml:space="preserve">Pendirian Soltius. Memulai sejarah panjang dalam memberikan layanan dan nilai yang unggul bagi klien.</w:t>
            </w:r>
          </w:p>
        </w:tc>
      </w:tr>
      <w:tr>
        <w:tc>
          <w:tcPr>
            <w:tcW w:type="dxa" w:w="1500"/>
            <w:tcBorders>
              <w:top w:val="single" w:color="D9E2EC" w:sz="1"/>
              <w:left w:val="single" w:color="D9E2EC" w:sz="1"/>
              <w:bottom w:val="single" w:color="D9E2EC" w:sz="1"/>
              <w:right w:val="single" w:color="D9E2EC" w:sz="1"/>
            </w:tcBorders>
            <w:shd w:fill="1E6FB8" w:val="clear"/>
            <w:tcMar>
              <w:top w:type="dxa" w:w="100"/>
              <w:left w:type="dxa" w:w="120"/>
              <w:bottom w:type="dxa" w:w="100"/>
              <w:right w:type="dxa" w:w="100"/>
            </w:tcMar>
            <w:vAlign w:val="center"/>
          </w:tcPr>
          <w:p>
            <w:pPr>
              <w:jc w:val="center"/>
            </w:pPr>
            <w:r>
              <w:rPr>
                <w:b/>
                <w:bCs/>
                <w:color w:val="FFFFFF"/>
                <w:sz w:val="22"/>
                <w:szCs w:val="22"/>
              </w:rPr>
              <w:t xml:space="preserve">2008</w:t>
            </w:r>
          </w:p>
        </w:tc>
        <w:tc>
          <w:tcPr>
            <w:tcW w:type="dxa" w:w="7860"/>
            <w:tcBorders>
              <w:top w:val="single" w:color="D9E2EC" w:sz="1"/>
              <w:left w:val="single" w:color="D9E2EC" w:sz="1"/>
              <w:bottom w:val="single" w:color="D9E2EC" w:sz="1"/>
              <w:right w:val="single" w:color="D9E2EC" w:sz="1"/>
            </w:tcBorders>
            <w:shd w:fill="E8F1FA" w:val="clear"/>
            <w:tcMar>
              <w:top w:type="dxa" w:w="100"/>
              <w:left w:type="dxa" w:w="140"/>
              <w:bottom w:type="dxa" w:w="100"/>
              <w:right w:type="dxa" w:w="120"/>
            </w:tcMar>
          </w:tcPr>
          <w:p>
            <w:r>
              <w:rPr>
                <w:color w:val="333333"/>
                <w:sz w:val="20"/>
                <w:szCs w:val="20"/>
              </w:rPr>
              <w:t xml:space="preserve">Diakuisisi oleh Metrodata. Soltius memperkuat posisinya sebagai mitra implementasi SAP terkemuka untuk perusahaan dari berbagai skala. Dengan kepemilikan 99,9% oleh Metrodata, Soltius menjadi anak perusahaan strategis grup.</w:t>
            </w:r>
          </w:p>
        </w:tc>
      </w:tr>
      <w:tr>
        <w:tc>
          <w:tcPr>
            <w:tcW w:type="dxa" w:w="1500"/>
            <w:tcBorders>
              <w:top w:val="single" w:color="D9E2EC" w:sz="1"/>
              <w:left w:val="single" w:color="D9E2EC" w:sz="1"/>
              <w:bottom w:val="single" w:color="D9E2EC" w:sz="1"/>
              <w:right w:val="single" w:color="D9E2EC" w:sz="1"/>
            </w:tcBorders>
            <w:shd w:fill="0B2A4A" w:val="clear"/>
            <w:tcMar>
              <w:top w:type="dxa" w:w="100"/>
              <w:left w:type="dxa" w:w="120"/>
              <w:bottom w:type="dxa" w:w="100"/>
              <w:right w:type="dxa" w:w="100"/>
            </w:tcMar>
            <w:vAlign w:val="center"/>
          </w:tcPr>
          <w:p>
            <w:pPr>
              <w:jc w:val="center"/>
            </w:pPr>
            <w:r>
              <w:rPr>
                <w:b/>
                <w:bCs/>
                <w:color w:val="FFFFFF"/>
                <w:sz w:val="22"/>
                <w:szCs w:val="22"/>
              </w:rPr>
              <w:t xml:space="preserve">2013+</w:t>
            </w:r>
          </w:p>
        </w:tc>
        <w:tc>
          <w:tcPr>
            <w:tcW w:type="dxa" w:w="7860"/>
            <w:tcBorders>
              <w:top w:val="single" w:color="D9E2EC" w:sz="1"/>
              <w:left w:val="single" w:color="D9E2EC" w:sz="1"/>
              <w:bottom w:val="single" w:color="D9E2EC" w:sz="1"/>
              <w:right w:val="single" w:color="D9E2EC" w:sz="1"/>
            </w:tcBorders>
            <w:tcMar>
              <w:top w:type="dxa" w:w="100"/>
              <w:left w:type="dxa" w:w="140"/>
              <w:bottom w:type="dxa" w:w="100"/>
              <w:right w:type="dxa" w:w="120"/>
            </w:tcMar>
          </w:tcPr>
          <w:p>
            <w:r>
              <w:rPr>
                <w:color w:val="333333"/>
                <w:sz w:val="20"/>
                <w:szCs w:val="20"/>
              </w:rPr>
              <w:t xml:space="preserve">Pertumbuhan pesat dan mandiri dengan lebih dari 200 profesional yang terus melayani bisnis di dalam negeri maupun lintas kawasan, serta menjadi kontributor pendapatan terbesar bagi SAP (diakui sejak 2015).</w:t>
            </w:r>
          </w:p>
        </w:tc>
      </w:tr>
    </w:tbl>
    <w:p>
      <w:pPr>
        <w:pStyle w:val="Heading2"/>
      </w:pPr>
      <w:r>
        <w:t xml:space="preserve">Visi</w:t>
      </w:r>
    </w:p>
    <w:p>
      <w:pPr>
        <w:pBdr>
          <w:left w:val="single" w:color="1E6FB8" w:sz="18" w:space="12"/>
        </w:pBdr>
        <w:shd w:fill="E8F1FA" w:val="clear"/>
        <w:spacing w:after="200" w:line="276"/>
        <w:ind w:left="160"/>
      </w:pPr>
      <w:r>
        <w:rPr>
          <w:i/>
          <w:iCs/>
          <w:color w:val="0B2A4A"/>
          <w:sz w:val="22"/>
          <w:szCs w:val="22"/>
        </w:rPr>
        <w:t xml:space="preserve">Menjadi perusahaan solusi dan layanan IT yang dipercaya oleh pelanggan, mitra, dan karyawan — dicapai melalui inovasi, kualitas, dan komitmen terhadap layanan kelas dunia.</w:t>
      </w:r>
    </w:p>
    <w:p>
      <w:pPr>
        <w:pStyle w:val="Heading2"/>
      </w:pPr>
      <w:r>
        <w:t xml:space="preserve">Misi</w:t>
      </w:r>
    </w:p>
    <w:p>
      <w:pPr>
        <w:pStyle w:val="ListParagraph"/>
        <w:numPr>
          <w:ilvl w:val="0"/>
          <w:numId w:val="2"/>
        </w:numPr>
        <w:spacing w:after="100" w:line="270"/>
      </w:pPr>
      <w:r>
        <w:rPr>
          <w:color w:val="333333"/>
          <w:sz w:val="22"/>
          <w:szCs w:val="22"/>
        </w:rPr>
        <w:t xml:space="preserve">Memanfaatkan kekuatan teknologi untuk memberikan dampak bisnis yang signifikan dan nilai perusahaan bagi pelanggan.</w:t>
      </w:r>
    </w:p>
    <w:p>
      <w:pPr>
        <w:pStyle w:val="ListParagraph"/>
        <w:numPr>
          <w:ilvl w:val="0"/>
          <w:numId w:val="2"/>
        </w:numPr>
        <w:spacing w:after="100" w:line="270"/>
      </w:pPr>
      <w:r>
        <w:rPr>
          <w:color w:val="333333"/>
          <w:sz w:val="22"/>
          <w:szCs w:val="22"/>
        </w:rPr>
        <w:t xml:space="preserve">Membangun hubungan kolaboratif dengan penyedia solusi terkemuka guna menghadirkan solusi end-to-end inovatif yang mampu menjawab tantangan baru dengan percaya diri, cepat, dan fleksibel.</w:t>
      </w:r>
    </w:p>
    <w:p>
      <w:pPr>
        <w:pStyle w:val="ListParagraph"/>
        <w:numPr>
          <w:ilvl w:val="0"/>
          <w:numId w:val="2"/>
        </w:numPr>
        <w:spacing w:after="100" w:line="270"/>
      </w:pPr>
      <w:r>
        <w:rPr>
          <w:color w:val="333333"/>
          <w:sz w:val="22"/>
          <w:szCs w:val="22"/>
        </w:rPr>
        <w:t xml:space="preserve">Menjadi “Employer of Choice” dengan menumbuhkan budaya kerja yang kreatif, pembelajaran berkelanjutan, dan berkinerja tinggi agar karyawan dapat berkembang secara profesional maupun personal.</w:t>
      </w:r>
    </w:p>
    <w:p>
      <w:r>
        <w:br w:type="page"/>
      </w:r>
    </w:p>
    <w:p>
      <w:pPr>
        <w:pStyle w:val="Heading1"/>
      </w:pPr>
      <w:r>
        <w:t xml:space="preserve">Layanan (Services)</w:t>
      </w:r>
    </w:p>
    <w:p>
      <w:pPr>
        <w:spacing w:after="160" w:line="276"/>
      </w:pPr>
      <w:r>
        <w:rPr>
          <w:color w:val="333333"/>
          <w:sz w:val="22"/>
          <w:szCs w:val="22"/>
        </w:rPr>
        <w:t xml:space="preserve">Soltius merupakan one-stop solution yang menjamin rangkaian layanan IT komprehensif untuk memenuhi kebutuhan teknologi bisnis — mulai dari konsep dan konsultasi, implementasi, analitik data, hingga dukungan teknis dan pemeliharaan.</w:t>
      </w:r>
    </w:p>
    <w:p>
      <w:pPr>
        <w:pStyle w:val="Heading2"/>
      </w:pPr>
      <w:r>
        <w:t xml:space="preserve">1. Strategy</w:t>
      </w:r>
    </w:p>
    <w:p>
      <w:pPr>
        <w:spacing w:after="160" w:line="276"/>
      </w:pPr>
      <w:r>
        <w:rPr>
          <w:color w:val="333333"/>
          <w:sz w:val="22"/>
          <w:szCs w:val="22"/>
        </w:rPr>
        <w:t xml:space="preserve">Praktik strategi menilai aktivitas digital perusahaan saat ini untuk mengidentifikasi perjalanan transformasi digital yang efektif, sekaligus menemukan peluang yang meningkatkan kualitas dan efisiensi biaya.</w:t>
      </w:r>
    </w:p>
    <w:p>
      <w:pPr>
        <w:pStyle w:val="ListParagraph"/>
        <w:numPr>
          <w:ilvl w:val="0"/>
          <w:numId w:val="2"/>
        </w:numPr>
        <w:spacing w:after="100" w:line="270"/>
      </w:pPr>
      <w:r>
        <w:rPr>
          <w:color w:val="333333"/>
          <w:sz w:val="22"/>
          <w:szCs w:val="22"/>
        </w:rPr>
        <w:t xml:space="preserve">ERP Strategy</w:t>
      </w:r>
    </w:p>
    <w:p>
      <w:pPr>
        <w:pStyle w:val="ListParagraph"/>
        <w:numPr>
          <w:ilvl w:val="0"/>
          <w:numId w:val="2"/>
        </w:numPr>
        <w:spacing w:after="100" w:line="270"/>
      </w:pPr>
      <w:r>
        <w:rPr>
          <w:color w:val="333333"/>
          <w:sz w:val="22"/>
          <w:szCs w:val="22"/>
        </w:rPr>
        <w:t xml:space="preserve">Change Management</w:t>
      </w:r>
    </w:p>
    <w:p>
      <w:pPr>
        <w:pStyle w:val="Heading2"/>
      </w:pPr>
      <w:r>
        <w:t xml:space="preserve">2. Implementation</w:t>
      </w:r>
    </w:p>
    <w:p>
      <w:pPr>
        <w:spacing w:after="160" w:line="276"/>
      </w:pPr>
      <w:r>
        <w:rPr>
          <w:color w:val="333333"/>
          <w:sz w:val="22"/>
          <w:szCs w:val="22"/>
        </w:rPr>
        <w:t xml:space="preserve">Soltius menyiapkan, menyediakan, dan mengelola solusi pilihan klien untuk menjamin performa dan keamanan sistem.</w:t>
      </w:r>
    </w:p>
    <w:p>
      <w:pPr>
        <w:pStyle w:val="ListParagraph"/>
        <w:numPr>
          <w:ilvl w:val="0"/>
          <w:numId w:val="2"/>
        </w:numPr>
        <w:spacing w:after="100" w:line="270"/>
      </w:pPr>
      <w:r>
        <w:rPr>
          <w:color w:val="333333"/>
          <w:sz w:val="22"/>
          <w:szCs w:val="22"/>
        </w:rPr>
        <w:t xml:space="preserve">New Implementation</w:t>
      </w:r>
    </w:p>
    <w:p>
      <w:pPr>
        <w:pStyle w:val="ListParagraph"/>
        <w:numPr>
          <w:ilvl w:val="0"/>
          <w:numId w:val="2"/>
        </w:numPr>
        <w:spacing w:after="100" w:line="270"/>
      </w:pPr>
      <w:r>
        <w:rPr>
          <w:color w:val="333333"/>
          <w:sz w:val="22"/>
          <w:szCs w:val="22"/>
        </w:rPr>
        <w:t xml:space="preserve">Re-Implementation</w:t>
      </w:r>
    </w:p>
    <w:p>
      <w:pPr>
        <w:pStyle w:val="ListParagraph"/>
        <w:numPr>
          <w:ilvl w:val="0"/>
          <w:numId w:val="2"/>
        </w:numPr>
        <w:spacing w:after="100" w:line="270"/>
      </w:pPr>
      <w:r>
        <w:rPr>
          <w:color w:val="333333"/>
          <w:sz w:val="22"/>
          <w:szCs w:val="22"/>
        </w:rPr>
        <w:t xml:space="preserve">Enhancement</w:t>
      </w:r>
    </w:p>
    <w:p>
      <w:pPr>
        <w:pStyle w:val="ListParagraph"/>
        <w:numPr>
          <w:ilvl w:val="0"/>
          <w:numId w:val="2"/>
        </w:numPr>
        <w:spacing w:after="100" w:line="270"/>
      </w:pPr>
      <w:r>
        <w:rPr>
          <w:color w:val="333333"/>
          <w:sz w:val="22"/>
          <w:szCs w:val="22"/>
        </w:rPr>
        <w:t xml:space="preserve">Migration</w:t>
      </w:r>
    </w:p>
    <w:p>
      <w:pPr>
        <w:pStyle w:val="ListParagraph"/>
        <w:numPr>
          <w:ilvl w:val="0"/>
          <w:numId w:val="2"/>
        </w:numPr>
        <w:spacing w:after="100" w:line="270"/>
      </w:pPr>
      <w:r>
        <w:rPr>
          <w:color w:val="333333"/>
          <w:sz w:val="22"/>
          <w:szCs w:val="22"/>
        </w:rPr>
        <w:t xml:space="preserve">Roll Out</w:t>
      </w:r>
    </w:p>
    <w:p>
      <w:pPr>
        <w:pStyle w:val="Heading2"/>
      </w:pPr>
      <w:r>
        <w:t xml:space="preserve">3. Supports</w:t>
      </w:r>
    </w:p>
    <w:p>
      <w:pPr>
        <w:spacing w:after="160" w:line="276"/>
      </w:pPr>
      <w:r>
        <w:rPr>
          <w:color w:val="333333"/>
          <w:sz w:val="22"/>
          <w:szCs w:val="22"/>
        </w:rPr>
        <w:t xml:space="preserve">Soltius menyediakan talenta dan sumber daya yang tepat untuk memastikan keberlanjutan solusi dan keberhasilan klien.</w:t>
      </w:r>
    </w:p>
    <w:p>
      <w:pPr>
        <w:pStyle w:val="ListParagraph"/>
        <w:numPr>
          <w:ilvl w:val="0"/>
          <w:numId w:val="2"/>
        </w:numPr>
        <w:spacing w:after="100" w:line="270"/>
      </w:pPr>
      <w:r>
        <w:rPr>
          <w:color w:val="333333"/>
          <w:sz w:val="22"/>
          <w:szCs w:val="22"/>
        </w:rPr>
        <w:t xml:space="preserve">Application Management Services (AMS)</w:t>
      </w:r>
    </w:p>
    <w:p>
      <w:pPr>
        <w:pStyle w:val="ListParagraph"/>
        <w:numPr>
          <w:ilvl w:val="0"/>
          <w:numId w:val="2"/>
        </w:numPr>
        <w:spacing w:after="100" w:line="270"/>
      </w:pPr>
      <w:r>
        <w:rPr>
          <w:color w:val="333333"/>
          <w:sz w:val="22"/>
          <w:szCs w:val="22"/>
        </w:rPr>
        <w:t xml:space="preserve">Annual Software Maintenance</w:t>
      </w:r>
    </w:p>
    <w:p>
      <w:pPr>
        <w:pStyle w:val="ListParagraph"/>
        <w:numPr>
          <w:ilvl w:val="0"/>
          <w:numId w:val="2"/>
        </w:numPr>
        <w:spacing w:after="100" w:line="270"/>
      </w:pPr>
      <w:r>
        <w:rPr>
          <w:color w:val="333333"/>
          <w:sz w:val="22"/>
          <w:szCs w:val="22"/>
        </w:rPr>
        <w:t xml:space="preserve">Annual Software Maintenance for SAP Business One</w:t>
      </w:r>
    </w:p>
    <w:p>
      <w:pPr>
        <w:pStyle w:val="ListParagraph"/>
        <w:numPr>
          <w:ilvl w:val="0"/>
          <w:numId w:val="2"/>
        </w:numPr>
        <w:spacing w:after="100" w:line="270"/>
      </w:pPr>
      <w:r>
        <w:rPr>
          <w:color w:val="333333"/>
          <w:sz w:val="22"/>
          <w:szCs w:val="22"/>
        </w:rPr>
        <w:t xml:space="preserve">Data and AI Consulting</w:t>
      </w:r>
    </w:p>
    <w:p>
      <w:r>
        <w:br w:type="page"/>
      </w:r>
    </w:p>
    <w:p>
      <w:pPr>
        <w:pStyle w:val="Heading1"/>
      </w:pPr>
      <w:r>
        <w:t xml:space="preserve">Solusi (Solutions)</w:t>
      </w:r>
    </w:p>
    <w:p>
      <w:pPr>
        <w:spacing w:after="160" w:line="276"/>
      </w:pPr>
      <w:r>
        <w:rPr>
          <w:color w:val="333333"/>
          <w:sz w:val="22"/>
          <w:szCs w:val="22"/>
        </w:rPr>
        <w:t xml:space="preserve">Soltius membantu klien mempercepat perubahan dengan memanfaatkan kekuatan teknologi, dengan pendekatan yang meminimalkan risiko dan memaksimalkan peluang. Portofolio solusi dibagi berdasarkan produk dan berdasarkan industri.</w:t>
      </w:r>
    </w:p>
    <w:p>
      <w:pPr>
        <w:pStyle w:val="Heading2"/>
      </w:pPr>
      <w:r>
        <w:t xml:space="preserve">Solusi Berdasarkan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E2EC" w:sz="1"/>
              <w:left w:val="single" w:color="D9E2EC" w:sz="1"/>
              <w:bottom w:val="single" w:color="D9E2EC" w:sz="1"/>
              <w:right w:val="single" w:color="D9E2EC" w:sz="1"/>
            </w:tcBorders>
            <w:shd w:fill="E8F1FA" w:val="clear"/>
            <w:tcMar>
              <w:top w:type="dxa" w:w="110"/>
              <w:left w:type="dxa" w:w="140"/>
              <w:bottom w:type="dxa" w:w="110"/>
              <w:right w:type="dxa" w:w="120"/>
            </w:tcMar>
            <w:vAlign w:val="center"/>
          </w:tcPr>
          <w:p>
            <w:r>
              <w:rPr>
                <w:b/>
                <w:bCs/>
                <w:color w:val="0B2A4A"/>
                <w:sz w:val="20"/>
                <w:szCs w:val="20"/>
              </w:rPr>
              <w:t xml:space="preserve">ERP SAP S/4HANA &amp; ERP Large Enterprises</w:t>
            </w:r>
          </w:p>
        </w:tc>
        <w:tc>
          <w:tcPr>
            <w:tcW w:type="dxa" w:w="4680"/>
            <w:tcBorders>
              <w:top w:val="single" w:color="D9E2EC" w:sz="1"/>
              <w:left w:val="single" w:color="D9E2EC" w:sz="1"/>
              <w:bottom w:val="single" w:color="D9E2EC" w:sz="1"/>
              <w:right w:val="single" w:color="D9E2EC" w:sz="1"/>
            </w:tcBorders>
            <w:shd w:fill="E8F1FA" w:val="clear"/>
            <w:tcMar>
              <w:top w:type="dxa" w:w="110"/>
              <w:left w:type="dxa" w:w="140"/>
              <w:bottom w:type="dxa" w:w="110"/>
              <w:right w:type="dxa" w:w="120"/>
            </w:tcMar>
            <w:vAlign w:val="center"/>
          </w:tcPr>
          <w:p>
            <w:r>
              <w:rPr>
                <w:b/>
                <w:bCs/>
                <w:color w:val="0B2A4A"/>
                <w:sz w:val="20"/>
                <w:szCs w:val="20"/>
              </w:rPr>
              <w:t xml:space="preserve">ERP SAP Business One</w:t>
            </w:r>
          </w:p>
        </w:tc>
      </w:tr>
      <w:tr>
        <w:tc>
          <w:tcPr>
            <w:tcW w:type="dxa" w:w="4680"/>
            <w:tcBorders>
              <w:top w:val="single" w:color="D9E2EC" w:sz="1"/>
              <w:left w:val="single" w:color="D9E2EC" w:sz="1"/>
              <w:bottom w:val="single" w:color="D9E2EC" w:sz="1"/>
              <w:right w:val="single" w:color="D9E2EC" w:sz="1"/>
            </w:tcBorders>
            <w:shd w:fill="E8F1FA" w:val="clear"/>
            <w:tcMar>
              <w:top w:type="dxa" w:w="110"/>
              <w:left w:type="dxa" w:w="140"/>
              <w:bottom w:type="dxa" w:w="110"/>
              <w:right w:type="dxa" w:w="120"/>
            </w:tcMar>
            <w:vAlign w:val="center"/>
          </w:tcPr>
          <w:p>
            <w:r>
              <w:rPr>
                <w:b/>
                <w:bCs/>
                <w:color w:val="0B2A4A"/>
                <w:sz w:val="20"/>
                <w:szCs w:val="20"/>
              </w:rPr>
              <w:t xml:space="preserve">Analytics</w:t>
            </w:r>
          </w:p>
        </w:tc>
        <w:tc>
          <w:tcPr>
            <w:tcW w:type="dxa" w:w="4680"/>
            <w:tcBorders>
              <w:top w:val="single" w:color="D9E2EC" w:sz="1"/>
              <w:left w:val="single" w:color="D9E2EC" w:sz="1"/>
              <w:bottom w:val="single" w:color="D9E2EC" w:sz="1"/>
              <w:right w:val="single" w:color="D9E2EC" w:sz="1"/>
            </w:tcBorders>
            <w:shd w:fill="E8F1FA" w:val="clear"/>
            <w:tcMar>
              <w:top w:type="dxa" w:w="110"/>
              <w:left w:type="dxa" w:w="140"/>
              <w:bottom w:type="dxa" w:w="110"/>
              <w:right w:type="dxa" w:w="120"/>
            </w:tcMar>
            <w:vAlign w:val="center"/>
          </w:tcPr>
          <w:p>
            <w:r>
              <w:rPr>
                <w:b/>
                <w:bCs/>
                <w:color w:val="0B2A4A"/>
                <w:sz w:val="20"/>
                <w:szCs w:val="20"/>
              </w:rPr>
              <w:t xml:space="preserve">Data Management</w:t>
            </w:r>
          </w:p>
        </w:tc>
      </w:tr>
      <w:tr>
        <w:tc>
          <w:tcPr>
            <w:tcW w:type="dxa" w:w="4680"/>
            <w:tcBorders>
              <w:top w:val="single" w:color="D9E2EC" w:sz="1"/>
              <w:left w:val="single" w:color="D9E2EC" w:sz="1"/>
              <w:bottom w:val="single" w:color="D9E2EC" w:sz="1"/>
              <w:right w:val="single" w:color="D9E2EC" w:sz="1"/>
            </w:tcBorders>
            <w:shd w:fill="E8F1FA" w:val="clear"/>
            <w:tcMar>
              <w:top w:type="dxa" w:w="110"/>
              <w:left w:type="dxa" w:w="140"/>
              <w:bottom w:type="dxa" w:w="110"/>
              <w:right w:type="dxa" w:w="120"/>
            </w:tcMar>
            <w:vAlign w:val="center"/>
          </w:tcPr>
          <w:p>
            <w:r>
              <w:rPr>
                <w:b/>
                <w:bCs/>
                <w:color w:val="0B2A4A"/>
                <w:sz w:val="20"/>
                <w:szCs w:val="20"/>
              </w:rPr>
              <w:t xml:space="preserve">Human Capital Management System</w:t>
            </w:r>
          </w:p>
        </w:tc>
        <w:tc>
          <w:tcPr>
            <w:tcW w:type="dxa" w:w="4680"/>
            <w:tcBorders>
              <w:top w:val="single" w:color="D9E2EC" w:sz="1"/>
              <w:left w:val="single" w:color="D9E2EC" w:sz="1"/>
              <w:bottom w:val="single" w:color="D9E2EC" w:sz="1"/>
              <w:right w:val="single" w:color="D9E2EC" w:sz="1"/>
            </w:tcBorders>
            <w:shd w:fill="E8F1FA" w:val="clear"/>
            <w:tcMar>
              <w:top w:type="dxa" w:w="110"/>
              <w:left w:type="dxa" w:w="140"/>
              <w:bottom w:type="dxa" w:w="110"/>
              <w:right w:type="dxa" w:w="120"/>
            </w:tcMar>
            <w:vAlign w:val="center"/>
          </w:tcPr>
          <w:p>
            <w:r>
              <w:rPr>
                <w:b/>
                <w:bCs/>
                <w:color w:val="0B2A4A"/>
                <w:sz w:val="20"/>
                <w:szCs w:val="20"/>
              </w:rPr>
              <w:t xml:space="preserve">Content &amp; Collaboration</w:t>
            </w:r>
          </w:p>
        </w:tc>
      </w:tr>
      <w:tr>
        <w:tc>
          <w:tcPr>
            <w:tcW w:type="dxa" w:w="4680"/>
            <w:tcBorders>
              <w:top w:val="single" w:color="D9E2EC" w:sz="1"/>
              <w:left w:val="single" w:color="D9E2EC" w:sz="1"/>
              <w:bottom w:val="single" w:color="D9E2EC" w:sz="1"/>
              <w:right w:val="single" w:color="D9E2EC" w:sz="1"/>
            </w:tcBorders>
            <w:shd w:fill="E8F1FA" w:val="clear"/>
            <w:tcMar>
              <w:top w:type="dxa" w:w="110"/>
              <w:left w:type="dxa" w:w="140"/>
              <w:bottom w:type="dxa" w:w="110"/>
              <w:right w:type="dxa" w:w="120"/>
            </w:tcMar>
            <w:vAlign w:val="center"/>
          </w:tcPr>
          <w:p>
            <w:r>
              <w:rPr>
                <w:b/>
                <w:bCs/>
                <w:color w:val="0B2A4A"/>
                <w:sz w:val="20"/>
                <w:szCs w:val="20"/>
              </w:rPr>
              <w:t xml:space="preserve">Retail</w:t>
            </w:r>
          </w:p>
        </w:tc>
        <w:tc>
          <w:tcPr>
            <w:tcW w:type="dxa" w:w="4680"/>
            <w:tcBorders>
              <w:top w:val="single" w:color="D9E2EC" w:sz="1"/>
              <w:left w:val="single" w:color="D9E2EC" w:sz="1"/>
              <w:bottom w:val="single" w:color="D9E2EC" w:sz="1"/>
              <w:right w:val="single" w:color="D9E2EC" w:sz="1"/>
            </w:tcBorders>
            <w:shd w:fill="E8F1FA" w:val="clear"/>
            <w:tcMar>
              <w:top w:type="dxa" w:w="110"/>
              <w:left w:type="dxa" w:w="140"/>
              <w:bottom w:type="dxa" w:w="110"/>
              <w:right w:type="dxa" w:w="120"/>
            </w:tcMar>
            <w:vAlign w:val="center"/>
          </w:tcPr>
          <w:p>
            <w:r>
              <w:rPr>
                <w:b/>
                <w:bCs/>
                <w:color w:val="0B2A4A"/>
                <w:sz w:val="20"/>
                <w:szCs w:val="20"/>
              </w:rPr>
              <w:t xml:space="preserve">Cloud</w:t>
            </w:r>
          </w:p>
        </w:tc>
      </w:tr>
      <w:tr>
        <w:tc>
          <w:tcPr>
            <w:tcW w:type="dxa" w:w="4680"/>
            <w:tcBorders>
              <w:top w:val="single" w:color="D9E2EC" w:sz="1"/>
              <w:left w:val="single" w:color="D9E2EC" w:sz="1"/>
              <w:bottom w:val="single" w:color="D9E2EC" w:sz="1"/>
              <w:right w:val="single" w:color="D9E2EC" w:sz="1"/>
            </w:tcBorders>
            <w:shd w:fill="E8F1FA" w:val="clear"/>
            <w:tcMar>
              <w:top w:type="dxa" w:w="110"/>
              <w:left w:type="dxa" w:w="140"/>
              <w:bottom w:type="dxa" w:w="110"/>
              <w:right w:type="dxa" w:w="120"/>
            </w:tcMar>
            <w:vAlign w:val="center"/>
          </w:tcPr>
          <w:p>
            <w:r>
              <w:rPr>
                <w:b/>
                <w:bCs/>
                <w:color w:val="0B2A4A"/>
                <w:sz w:val="20"/>
                <w:szCs w:val="20"/>
              </w:rPr>
              <w:t xml:space="preserve">Digital Platform</w:t>
            </w:r>
          </w:p>
        </w:tc>
        <w:tc>
          <w:tcPr>
            <w:tcW w:type="dxa" w:w="4680"/>
            <w:tcBorders>
              <w:top w:val="single" w:color="D9E2EC" w:sz="1"/>
              <w:left w:val="single" w:color="D9E2EC" w:sz="1"/>
              <w:bottom w:val="single" w:color="D9E2EC" w:sz="1"/>
              <w:right w:val="single" w:color="D9E2EC" w:sz="1"/>
            </w:tcBorders>
            <w:shd w:fill="FFFFFF" w:val="clear"/>
            <w:tcMar>
              <w:top w:type="dxa" w:w="110"/>
              <w:left w:type="dxa" w:w="140"/>
              <w:bottom w:type="dxa" w:w="110"/>
              <w:right w:type="dxa" w:w="120"/>
            </w:tcMar>
            <w:vAlign w:val="center"/>
          </w:tcPr>
          <w:p>
            <w:r>
              <w:rPr>
                <w:b w:val="false"/>
                <w:bCs w:val="false"/>
                <w:color w:val="FFFFFF"/>
                <w:sz w:val="20"/>
                <w:szCs w:val="20"/>
              </w:rPr>
              <w:t xml:space="preserve"/>
            </w:r>
          </w:p>
        </w:tc>
      </w:tr>
    </w:tbl>
    <w:p>
      <w:pPr>
        <w:pStyle w:val="Heading2"/>
      </w:pPr>
      <w:r>
        <w:t xml:space="preserve">Solusi Berdasarkan Industri</w:t>
      </w:r>
    </w:p>
    <w:p>
      <w:pPr>
        <w:pStyle w:val="ListParagraph"/>
        <w:numPr>
          <w:ilvl w:val="0"/>
          <w:numId w:val="2"/>
        </w:numPr>
        <w:spacing w:after="100" w:line="270"/>
      </w:pPr>
      <w:r>
        <w:rPr>
          <w:color w:val="333333"/>
          <w:sz w:val="22"/>
          <w:szCs w:val="22"/>
        </w:rPr>
        <w:t xml:space="preserve">Healthcare (Layanan Kesehatan)</w:t>
      </w:r>
    </w:p>
    <w:p>
      <w:pPr>
        <w:pStyle w:val="ListParagraph"/>
        <w:numPr>
          <w:ilvl w:val="0"/>
          <w:numId w:val="2"/>
        </w:numPr>
        <w:spacing w:after="100" w:line="270"/>
      </w:pPr>
      <w:r>
        <w:rPr>
          <w:color w:val="333333"/>
          <w:sz w:val="22"/>
          <w:szCs w:val="22"/>
        </w:rPr>
        <w:t xml:space="preserve">Consumer Products</w:t>
      </w:r>
    </w:p>
    <w:p>
      <w:pPr>
        <w:pStyle w:val="ListParagraph"/>
        <w:numPr>
          <w:ilvl w:val="0"/>
          <w:numId w:val="2"/>
        </w:numPr>
        <w:spacing w:after="100" w:line="270"/>
      </w:pPr>
      <w:r>
        <w:rPr>
          <w:color w:val="333333"/>
          <w:sz w:val="22"/>
          <w:szCs w:val="22"/>
        </w:rPr>
        <w:t xml:space="preserve">Wholesale Distribution</w:t>
      </w:r>
    </w:p>
    <w:p>
      <w:pPr>
        <w:pStyle w:val="ListParagraph"/>
        <w:numPr>
          <w:ilvl w:val="0"/>
          <w:numId w:val="2"/>
        </w:numPr>
        <w:spacing w:after="100" w:line="270"/>
      </w:pPr>
      <w:r>
        <w:rPr>
          <w:color w:val="333333"/>
          <w:sz w:val="22"/>
          <w:szCs w:val="22"/>
        </w:rPr>
        <w:t xml:space="preserve">Retail</w:t>
      </w:r>
    </w:p>
    <w:p>
      <w:pPr>
        <w:pStyle w:val="ListParagraph"/>
        <w:numPr>
          <w:ilvl w:val="0"/>
          <w:numId w:val="2"/>
        </w:numPr>
        <w:spacing w:after="100" w:line="270"/>
      </w:pPr>
      <w:r>
        <w:rPr>
          <w:color w:val="333333"/>
          <w:sz w:val="22"/>
          <w:szCs w:val="22"/>
        </w:rPr>
        <w:t xml:space="preserve">Automotive</w:t>
      </w:r>
    </w:p>
    <w:p>
      <w:pPr>
        <w:pStyle w:val="ListParagraph"/>
        <w:numPr>
          <w:ilvl w:val="0"/>
          <w:numId w:val="2"/>
        </w:numPr>
        <w:spacing w:after="100" w:line="270"/>
      </w:pPr>
      <w:r>
        <w:rPr>
          <w:color w:val="333333"/>
          <w:sz w:val="22"/>
          <w:szCs w:val="22"/>
        </w:rPr>
        <w:t xml:space="preserve">Transportation &amp; Logistic</w:t>
      </w:r>
    </w:p>
    <w:p>
      <w:pPr>
        <w:pStyle w:val="ListParagraph"/>
        <w:numPr>
          <w:ilvl w:val="0"/>
          <w:numId w:val="2"/>
        </w:numPr>
        <w:spacing w:after="100" w:line="270"/>
      </w:pPr>
      <w:r>
        <w:rPr>
          <w:color w:val="333333"/>
          <w:sz w:val="22"/>
          <w:szCs w:val="22"/>
        </w:rPr>
        <w:t xml:space="preserve">Pharma (Farmasi)</w:t>
      </w:r>
    </w:p>
    <w:p>
      <w:pPr>
        <w:pStyle w:val="ListParagraph"/>
        <w:numPr>
          <w:ilvl w:val="0"/>
          <w:numId w:val="2"/>
        </w:numPr>
        <w:spacing w:after="100" w:line="270"/>
      </w:pPr>
      <w:r>
        <w:rPr>
          <w:color w:val="333333"/>
          <w:sz w:val="22"/>
          <w:szCs w:val="22"/>
        </w:rPr>
        <w:t xml:space="preserve">Plantation (Perkebunan)</w:t>
      </w:r>
    </w:p>
    <w:p>
      <w:pPr>
        <w:pStyle w:val="ListParagraph"/>
        <w:numPr>
          <w:ilvl w:val="0"/>
          <w:numId w:val="2"/>
        </w:numPr>
        <w:spacing w:after="100" w:line="270"/>
      </w:pPr>
      <w:r>
        <w:rPr>
          <w:color w:val="333333"/>
          <w:sz w:val="22"/>
          <w:szCs w:val="22"/>
        </w:rPr>
        <w:t xml:space="preserve">Mill Products</w:t>
      </w:r>
    </w:p>
    <w:p>
      <w:r>
        <w:br w:type="page"/>
      </w:r>
    </w:p>
    <w:p>
      <w:pPr>
        <w:pStyle w:val="Heading1"/>
      </w:pPr>
      <w:r>
        <w:t xml:space="preserve">Keunggulan Kompetitif</w:t>
      </w:r>
    </w:p>
    <w:p>
      <w:pPr>
        <w:pStyle w:val="Heading2"/>
      </w:pPr>
      <w:r>
        <w:t xml:space="preserve">Tim Profesional</w:t>
      </w:r>
    </w:p>
    <w:p>
      <w:pPr>
        <w:spacing w:after="160" w:line="276"/>
      </w:pPr>
      <w:r>
        <w:rPr>
          <w:color w:val="333333"/>
          <w:sz w:val="22"/>
          <w:szCs w:val="22"/>
        </w:rPr>
        <w:t xml:space="preserve">Sebagai perusahaan konsultan, sumber daya manusia merupakan pembeda utama Soltius. Perusahaan terus berkembang dengan merekrut talenta terbaik di pasar dan menempatkan mereka dalam lingkungan pengembangan yang kaya. Saat ini Soltius memiliki lebih dari 200 konsultan berpengalaman dan secara konsisten menghadirkan tantangan serta peluang kerja yang menarik.</w:t>
      </w:r>
    </w:p>
    <w:p>
      <w:pPr>
        <w:pStyle w:val="Heading2"/>
      </w:pPr>
      <w:r>
        <w:t xml:space="preserve">Pendekatan yang Disesuaikan</w:t>
      </w:r>
    </w:p>
    <w:p>
      <w:pPr>
        <w:spacing w:after="160" w:line="276"/>
      </w:pPr>
      <w:r>
        <w:rPr>
          <w:color w:val="333333"/>
          <w:sz w:val="22"/>
          <w:szCs w:val="22"/>
        </w:rPr>
        <w:t xml:space="preserve">Setiap bisnis membutuhkan pendekatan teknologi yang berbeda, sesuai dengan tujuan korporat, struktur organisasi, dan kebutuhan bisnis yang terus berkembang. Soltius memadukan pengalaman ekstensif dengan pemahaman mendalam atas kebutuhan klien untuk menghadirkan solusi berkualitas tinggi yang terjangkau.</w:t>
      </w:r>
    </w:p>
    <w:p>
      <w:pPr>
        <w:pStyle w:val="Heading2"/>
      </w:pPr>
      <w:r>
        <w:t xml:space="preserve">Status SAP Platinum &amp; United VARs</w:t>
      </w:r>
    </w:p>
    <w:p>
      <w:pPr>
        <w:spacing w:after="160" w:line="276"/>
      </w:pPr>
      <w:r>
        <w:rPr>
          <w:color w:val="333333"/>
          <w:sz w:val="22"/>
          <w:szCs w:val="22"/>
        </w:rPr>
        <w:t xml:space="preserve">Sebagai anggota United VARs, Soltius memperoleh status tertinggi SAP yaitu Platinum Partner — menempatkannya di antara penyedia solusi terkemuka di dunia. United VARs merupakan aliansi terdepan penyedia solusi SAP untuk mid-market, terdiri atas 45 VAR terkemuka yang beroperasi di lebih dari 90 negara, dengan 10.000 konsultan SAP bersertifikat yang melayani lebih dari 8.000 pelanggan di seluruh dunia.</w:t>
      </w:r>
    </w:p>
    <w:p>
      <w:pPr>
        <w:pStyle w:val="Heading2"/>
      </w:pPr>
      <w:r>
        <w:t xml:space="preserve">Sertifikasi &amp; Dukungan</w:t>
      </w:r>
    </w:p>
    <w:p>
      <w:pPr>
        <w:pStyle w:val="ListParagraph"/>
        <w:numPr>
          <w:ilvl w:val="0"/>
          <w:numId w:val="2"/>
        </w:numPr>
        <w:spacing w:after="100" w:line="270"/>
      </w:pPr>
      <w:r>
        <w:rPr>
          <w:color w:val="333333"/>
          <w:sz w:val="22"/>
          <w:szCs w:val="22"/>
        </w:rPr>
        <w:t xml:space="preserve">SAP Platinum Certified Channel Partner &amp; Value Added Reseller</w:t>
      </w:r>
    </w:p>
    <w:p>
      <w:pPr>
        <w:pStyle w:val="ListParagraph"/>
        <w:numPr>
          <w:ilvl w:val="0"/>
          <w:numId w:val="2"/>
        </w:numPr>
        <w:spacing w:after="100" w:line="270"/>
      </w:pPr>
      <w:r>
        <w:rPr>
          <w:color w:val="333333"/>
          <w:sz w:val="22"/>
          <w:szCs w:val="22"/>
        </w:rPr>
        <w:t xml:space="preserve">Certified National Implementation Partner</w:t>
      </w:r>
    </w:p>
    <w:p>
      <w:pPr>
        <w:pStyle w:val="ListParagraph"/>
        <w:numPr>
          <w:ilvl w:val="0"/>
          <w:numId w:val="2"/>
        </w:numPr>
        <w:spacing w:after="100" w:line="270"/>
      </w:pPr>
      <w:r>
        <w:rPr>
          <w:color w:val="333333"/>
          <w:sz w:val="22"/>
          <w:szCs w:val="22"/>
        </w:rPr>
        <w:t xml:space="preserve">Certified AMC &amp; AMS Partner (Partner Center of Expertise / PCoE) di Indonesia</w:t>
      </w:r>
    </w:p>
    <w:p>
      <w:pPr>
        <w:pStyle w:val="ListParagraph"/>
        <w:numPr>
          <w:ilvl w:val="0"/>
          <w:numId w:val="2"/>
        </w:numPr>
        <w:spacing w:after="100" w:line="270"/>
      </w:pPr>
      <w:r>
        <w:rPr>
          <w:color w:val="333333"/>
          <w:sz w:val="22"/>
          <w:szCs w:val="22"/>
        </w:rPr>
        <w:t xml:space="preserve">SAP Partner Quality Program — diakui untuk standar dan proses yang patut dicontoh</w:t>
      </w:r>
    </w:p>
    <w:p>
      <w:pPr>
        <w:pStyle w:val="ListParagraph"/>
        <w:numPr>
          <w:ilvl w:val="0"/>
          <w:numId w:val="2"/>
        </w:numPr>
        <w:spacing w:after="100" w:line="270"/>
      </w:pPr>
      <w:r>
        <w:rPr>
          <w:color w:val="333333"/>
          <w:sz w:val="22"/>
          <w:szCs w:val="22"/>
        </w:rPr>
        <w:t xml:space="preserve">Kontributor pendapatan terbesar bagi SAP Indonesia (diakui sejak 2015)</w:t>
      </w:r>
    </w:p>
    <w:p>
      <w:r>
        <w:br w:type="page"/>
      </w:r>
    </w:p>
    <w:p>
      <w:pPr>
        <w:pStyle w:val="Heading1"/>
      </w:pPr>
      <w:r>
        <w:t xml:space="preserve">Penghargaan &amp; Pengakuan</w:t>
      </w:r>
    </w:p>
    <w:p>
      <w:pPr>
        <w:spacing w:after="160" w:line="276"/>
      </w:pPr>
      <w:r>
        <w:rPr>
          <w:color w:val="333333"/>
          <w:sz w:val="22"/>
          <w:szCs w:val="22"/>
        </w:rPr>
        <w:t xml:space="preserve">Soltius telah menerima berbagai penghargaan bergengsi sebagai bukti komitmen terhadap layanan unggul di seluruh layanan SAP. Berikut sebagian rekam jejak penghargaan yang diraih: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9E2EC" w:sz="1"/>
              <w:left w:val="single" w:color="D9E2EC" w:sz="1"/>
              <w:bottom w:val="single" w:color="D9E2EC" w:sz="1"/>
              <w:right w:val="single" w:color="D9E2EC" w:sz="1"/>
            </w:tcBorders>
            <w:shd w:fill="0B2A4A" w:val="clear"/>
            <w:tcMar>
              <w:top w:type="dxa" w:w="80"/>
              <w:left w:type="dxa" w:w="120"/>
              <w:bottom w:type="dxa" w:w="80"/>
              <w:right w:type="dxa" w:w="100"/>
            </w:tcMar>
          </w:tcPr>
          <w:p>
            <w:pPr>
              <w:jc w:val="center"/>
            </w:pPr>
            <w:r>
              <w:rPr>
                <w:b/>
                <w:bCs/>
                <w:color w:val="FFFFFF"/>
                <w:sz w:val="20"/>
                <w:szCs w:val="20"/>
              </w:rPr>
              <w:t xml:space="preserve">Tahun</w:t>
            </w:r>
          </w:p>
        </w:tc>
        <w:tc>
          <w:tcPr>
            <w:tcW w:type="dxa" w:w="8060"/>
            <w:tcBorders>
              <w:top w:val="single" w:color="D9E2EC" w:sz="1"/>
              <w:left w:val="single" w:color="D9E2EC" w:sz="1"/>
              <w:bottom w:val="single" w:color="D9E2EC" w:sz="1"/>
              <w:right w:val="single" w:color="D9E2EC" w:sz="1"/>
            </w:tcBorders>
            <w:shd w:fill="0B2A4A" w:val="clear"/>
            <w:tcMar>
              <w:top w:type="dxa" w:w="80"/>
              <w:left w:type="dxa" w:w="140"/>
              <w:bottom w:type="dxa" w:w="80"/>
              <w:right w:type="dxa" w:w="120"/>
            </w:tcMar>
          </w:tcPr>
          <w:p>
            <w:r>
              <w:rPr>
                <w:b/>
                <w:bCs/>
                <w:color w:val="FFFFFF"/>
                <w:sz w:val="20"/>
                <w:szCs w:val="20"/>
              </w:rPr>
              <w:t xml:space="preserve">Penghargaan</w:t>
            </w:r>
          </w:p>
        </w:tc>
      </w:tr>
      <w:tr>
        <w:tc>
          <w:tcPr>
            <w:tcW w:type="dxa" w:w="1300"/>
            <w:tcBorders>
              <w:top w:val="single" w:color="D9E2EC" w:sz="1"/>
              <w:left w:val="single" w:color="D9E2EC" w:sz="1"/>
              <w:bottom w:val="single" w:color="D9E2EC" w:sz="1"/>
              <w:right w:val="single" w:color="D9E2EC" w:sz="1"/>
            </w:tcBorders>
            <w:shd w:fill="E8F1FA" w:val="clear"/>
            <w:tcMar>
              <w:top w:type="dxa" w:w="80"/>
              <w:left w:type="dxa" w:w="120"/>
              <w:bottom w:type="dxa" w:w="80"/>
              <w:right w:type="dxa" w:w="100"/>
            </w:tcMar>
            <w:vAlign w:val="center"/>
          </w:tcPr>
          <w:p>
            <w:pPr>
              <w:jc w:val="center"/>
            </w:pPr>
            <w:r>
              <w:rPr>
                <w:b/>
                <w:bCs/>
                <w:color w:val="1E6FB8"/>
                <w:sz w:val="20"/>
                <w:szCs w:val="20"/>
              </w:rPr>
              <w:t xml:space="preserve">2024</w:t>
            </w:r>
          </w:p>
        </w:tc>
        <w:tc>
          <w:tcPr>
            <w:tcW w:type="dxa" w:w="8060"/>
            <w:tcBorders>
              <w:top w:val="single" w:color="D9E2EC" w:sz="1"/>
              <w:left w:val="single" w:color="D9E2EC" w:sz="1"/>
              <w:bottom w:val="single" w:color="D9E2EC" w:sz="1"/>
              <w:right w:val="single" w:color="D9E2EC" w:sz="1"/>
            </w:tcBorders>
            <w:shd w:fill="E8F1FA" w:val="clear"/>
            <w:tcMar>
              <w:top w:type="dxa" w:w="80"/>
              <w:left w:type="dxa" w:w="140"/>
              <w:bottom w:type="dxa" w:w="80"/>
              <w:right w:type="dxa" w:w="120"/>
            </w:tcMar>
          </w:tcPr>
          <w:p>
            <w:r>
              <w:rPr>
                <w:color w:val="333333"/>
                <w:sz w:val="20"/>
                <w:szCs w:val="20"/>
              </w:rPr>
              <w:t xml:space="preserve">SAP Business One — Partner of the Year 2023</w:t>
            </w:r>
          </w:p>
        </w:tc>
      </w:tr>
      <w:tr>
        <w:tc>
          <w:tcPr>
            <w:tcW w:type="dxa" w:w="1300"/>
            <w:tcBorders>
              <w:top w:val="single" w:color="D9E2EC" w:sz="1"/>
              <w:left w:val="single" w:color="D9E2EC" w:sz="1"/>
              <w:bottom w:val="single" w:color="D9E2EC" w:sz="1"/>
              <w:right w:val="single" w:color="D9E2EC" w:sz="1"/>
            </w:tcBorders>
            <w:shd w:fill="FFFFFF" w:val="clear"/>
            <w:tcMar>
              <w:top w:type="dxa" w:w="80"/>
              <w:left w:type="dxa" w:w="120"/>
              <w:bottom w:type="dxa" w:w="80"/>
              <w:right w:type="dxa" w:w="100"/>
            </w:tcMar>
            <w:vAlign w:val="center"/>
          </w:tcPr>
          <w:p>
            <w:pPr>
              <w:jc w:val="center"/>
            </w:pPr>
            <w:r>
              <w:rPr>
                <w:b/>
                <w:bCs/>
                <w:color w:val="1E6FB8"/>
                <w:sz w:val="20"/>
                <w:szCs w:val="20"/>
              </w:rPr>
              <w:t xml:space="preserve">2023</w:t>
            </w:r>
          </w:p>
        </w:tc>
        <w:tc>
          <w:tcPr>
            <w:tcW w:type="dxa" w:w="8060"/>
            <w:tcBorders>
              <w:top w:val="single" w:color="D9E2EC" w:sz="1"/>
              <w:left w:val="single" w:color="D9E2EC" w:sz="1"/>
              <w:bottom w:val="single" w:color="D9E2EC" w:sz="1"/>
              <w:right w:val="single" w:color="D9E2EC" w:sz="1"/>
            </w:tcBorders>
            <w:shd w:fill="FFFFFF" w:val="clear"/>
            <w:tcMar>
              <w:top w:type="dxa" w:w="80"/>
              <w:left w:type="dxa" w:w="140"/>
              <w:bottom w:type="dxa" w:w="80"/>
              <w:right w:type="dxa" w:w="120"/>
            </w:tcMar>
          </w:tcPr>
          <w:p>
            <w:r>
              <w:rPr>
                <w:color w:val="333333"/>
                <w:sz w:val="20"/>
                <w:szCs w:val="20"/>
              </w:rPr>
              <w:t xml:space="preserve">SAP Business One — Partner of the Year 2022</w:t>
            </w:r>
          </w:p>
        </w:tc>
      </w:tr>
      <w:tr>
        <w:tc>
          <w:tcPr>
            <w:tcW w:type="dxa" w:w="1300"/>
            <w:tcBorders>
              <w:top w:val="single" w:color="D9E2EC" w:sz="1"/>
              <w:left w:val="single" w:color="D9E2EC" w:sz="1"/>
              <w:bottom w:val="single" w:color="D9E2EC" w:sz="1"/>
              <w:right w:val="single" w:color="D9E2EC" w:sz="1"/>
            </w:tcBorders>
            <w:shd w:fill="E8F1FA" w:val="clear"/>
            <w:tcMar>
              <w:top w:type="dxa" w:w="80"/>
              <w:left w:type="dxa" w:w="120"/>
              <w:bottom w:type="dxa" w:w="80"/>
              <w:right w:type="dxa" w:w="100"/>
            </w:tcMar>
            <w:vAlign w:val="center"/>
          </w:tcPr>
          <w:p>
            <w:pPr>
              <w:jc w:val="center"/>
            </w:pPr>
            <w:r>
              <w:rPr>
                <w:b/>
                <w:bCs/>
                <w:color w:val="1E6FB8"/>
                <w:sz w:val="20"/>
                <w:szCs w:val="20"/>
              </w:rPr>
              <w:t xml:space="preserve">2023</w:t>
            </w:r>
          </w:p>
        </w:tc>
        <w:tc>
          <w:tcPr>
            <w:tcW w:type="dxa" w:w="8060"/>
            <w:tcBorders>
              <w:top w:val="single" w:color="D9E2EC" w:sz="1"/>
              <w:left w:val="single" w:color="D9E2EC" w:sz="1"/>
              <w:bottom w:val="single" w:color="D9E2EC" w:sz="1"/>
              <w:right w:val="single" w:color="D9E2EC" w:sz="1"/>
            </w:tcBorders>
            <w:shd w:fill="E8F1FA" w:val="clear"/>
            <w:tcMar>
              <w:top w:type="dxa" w:w="80"/>
              <w:left w:type="dxa" w:w="140"/>
              <w:bottom w:type="dxa" w:w="80"/>
              <w:right w:type="dxa" w:w="120"/>
            </w:tcMar>
          </w:tcPr>
          <w:p>
            <w:r>
              <w:rPr>
                <w:color w:val="333333"/>
                <w:sz w:val="20"/>
                <w:szCs w:val="20"/>
              </w:rPr>
              <w:t xml:space="preserve">SAP SEA Partner Success Summit — Outstanding Performance in Midmarket Indonesia</w:t>
            </w:r>
          </w:p>
        </w:tc>
      </w:tr>
      <w:tr>
        <w:tc>
          <w:tcPr>
            <w:tcW w:type="dxa" w:w="1300"/>
            <w:tcBorders>
              <w:top w:val="single" w:color="D9E2EC" w:sz="1"/>
              <w:left w:val="single" w:color="D9E2EC" w:sz="1"/>
              <w:bottom w:val="single" w:color="D9E2EC" w:sz="1"/>
              <w:right w:val="single" w:color="D9E2EC" w:sz="1"/>
            </w:tcBorders>
            <w:shd w:fill="FFFFFF" w:val="clear"/>
            <w:tcMar>
              <w:top w:type="dxa" w:w="80"/>
              <w:left w:type="dxa" w:w="120"/>
              <w:bottom w:type="dxa" w:w="80"/>
              <w:right w:type="dxa" w:w="100"/>
            </w:tcMar>
            <w:vAlign w:val="center"/>
          </w:tcPr>
          <w:p>
            <w:pPr>
              <w:jc w:val="center"/>
            </w:pPr>
            <w:r>
              <w:rPr>
                <w:b/>
                <w:bCs/>
                <w:color w:val="1E6FB8"/>
                <w:sz w:val="20"/>
                <w:szCs w:val="20"/>
              </w:rPr>
              <w:t xml:space="preserve">2022</w:t>
            </w:r>
          </w:p>
        </w:tc>
        <w:tc>
          <w:tcPr>
            <w:tcW w:type="dxa" w:w="8060"/>
            <w:tcBorders>
              <w:top w:val="single" w:color="D9E2EC" w:sz="1"/>
              <w:left w:val="single" w:color="D9E2EC" w:sz="1"/>
              <w:bottom w:val="single" w:color="D9E2EC" w:sz="1"/>
              <w:right w:val="single" w:color="D9E2EC" w:sz="1"/>
            </w:tcBorders>
            <w:shd w:fill="FFFFFF" w:val="clear"/>
            <w:tcMar>
              <w:top w:type="dxa" w:w="80"/>
              <w:left w:type="dxa" w:w="140"/>
              <w:bottom w:type="dxa" w:w="80"/>
              <w:right w:type="dxa" w:w="120"/>
            </w:tcMar>
          </w:tcPr>
          <w:p>
            <w:r>
              <w:rPr>
                <w:color w:val="333333"/>
                <w:sz w:val="20"/>
                <w:szCs w:val="20"/>
              </w:rPr>
              <w:t xml:space="preserve">Huawei Cloud Specialization Partner of the Year 2022</w:t>
            </w:r>
          </w:p>
        </w:tc>
      </w:tr>
      <w:tr>
        <w:tc>
          <w:tcPr>
            <w:tcW w:type="dxa" w:w="1300"/>
            <w:tcBorders>
              <w:top w:val="single" w:color="D9E2EC" w:sz="1"/>
              <w:left w:val="single" w:color="D9E2EC" w:sz="1"/>
              <w:bottom w:val="single" w:color="D9E2EC" w:sz="1"/>
              <w:right w:val="single" w:color="D9E2EC" w:sz="1"/>
            </w:tcBorders>
            <w:shd w:fill="E8F1FA" w:val="clear"/>
            <w:tcMar>
              <w:top w:type="dxa" w:w="80"/>
              <w:left w:type="dxa" w:w="120"/>
              <w:bottom w:type="dxa" w:w="80"/>
              <w:right w:type="dxa" w:w="100"/>
            </w:tcMar>
            <w:vAlign w:val="center"/>
          </w:tcPr>
          <w:p>
            <w:pPr>
              <w:jc w:val="center"/>
            </w:pPr>
            <w:r>
              <w:rPr>
                <w:b/>
                <w:bCs/>
                <w:color w:val="1E6FB8"/>
                <w:sz w:val="20"/>
                <w:szCs w:val="20"/>
              </w:rPr>
              <w:t xml:space="preserve">2022</w:t>
            </w:r>
          </w:p>
        </w:tc>
        <w:tc>
          <w:tcPr>
            <w:tcW w:type="dxa" w:w="8060"/>
            <w:tcBorders>
              <w:top w:val="single" w:color="D9E2EC" w:sz="1"/>
              <w:left w:val="single" w:color="D9E2EC" w:sz="1"/>
              <w:bottom w:val="single" w:color="D9E2EC" w:sz="1"/>
              <w:right w:val="single" w:color="D9E2EC" w:sz="1"/>
            </w:tcBorders>
            <w:shd w:fill="E8F1FA" w:val="clear"/>
            <w:tcMar>
              <w:top w:type="dxa" w:w="80"/>
              <w:left w:type="dxa" w:w="140"/>
              <w:bottom w:type="dxa" w:w="80"/>
              <w:right w:type="dxa" w:w="120"/>
            </w:tcMar>
          </w:tcPr>
          <w:p>
            <w:r>
              <w:rPr>
                <w:color w:val="333333"/>
                <w:sz w:val="20"/>
                <w:szCs w:val="20"/>
              </w:rPr>
              <w:t xml:space="preserve">Penyedia Jasa Implementasi IT dan Periferal Terbaik oleh MRT Jakarta</w:t>
            </w:r>
          </w:p>
        </w:tc>
      </w:tr>
      <w:tr>
        <w:tc>
          <w:tcPr>
            <w:tcW w:type="dxa" w:w="1300"/>
            <w:tcBorders>
              <w:top w:val="single" w:color="D9E2EC" w:sz="1"/>
              <w:left w:val="single" w:color="D9E2EC" w:sz="1"/>
              <w:bottom w:val="single" w:color="D9E2EC" w:sz="1"/>
              <w:right w:val="single" w:color="D9E2EC" w:sz="1"/>
            </w:tcBorders>
            <w:shd w:fill="FFFFFF" w:val="clear"/>
            <w:tcMar>
              <w:top w:type="dxa" w:w="80"/>
              <w:left w:type="dxa" w:w="120"/>
              <w:bottom w:type="dxa" w:w="80"/>
              <w:right w:type="dxa" w:w="100"/>
            </w:tcMar>
            <w:vAlign w:val="center"/>
          </w:tcPr>
          <w:p>
            <w:pPr>
              <w:jc w:val="center"/>
            </w:pPr>
            <w:r>
              <w:rPr>
                <w:b/>
                <w:bCs/>
                <w:color w:val="1E6FB8"/>
                <w:sz w:val="20"/>
                <w:szCs w:val="20"/>
              </w:rPr>
              <w:t xml:space="preserve">2021</w:t>
            </w:r>
          </w:p>
        </w:tc>
        <w:tc>
          <w:tcPr>
            <w:tcW w:type="dxa" w:w="8060"/>
            <w:tcBorders>
              <w:top w:val="single" w:color="D9E2EC" w:sz="1"/>
              <w:left w:val="single" w:color="D9E2EC" w:sz="1"/>
              <w:bottom w:val="single" w:color="D9E2EC" w:sz="1"/>
              <w:right w:val="single" w:color="D9E2EC" w:sz="1"/>
            </w:tcBorders>
            <w:shd w:fill="FFFFFF" w:val="clear"/>
            <w:tcMar>
              <w:top w:type="dxa" w:w="80"/>
              <w:left w:type="dxa" w:w="140"/>
              <w:bottom w:type="dxa" w:w="80"/>
              <w:right w:type="dxa" w:w="120"/>
            </w:tcMar>
          </w:tcPr>
          <w:p>
            <w:r>
              <w:rPr>
                <w:color w:val="333333"/>
                <w:sz w:val="20"/>
                <w:szCs w:val="20"/>
              </w:rPr>
              <w:t xml:space="preserve">SAP Business One Partner of the Year 2021</w:t>
            </w:r>
          </w:p>
        </w:tc>
      </w:tr>
      <w:tr>
        <w:tc>
          <w:tcPr>
            <w:tcW w:type="dxa" w:w="1300"/>
            <w:tcBorders>
              <w:top w:val="single" w:color="D9E2EC" w:sz="1"/>
              <w:left w:val="single" w:color="D9E2EC" w:sz="1"/>
              <w:bottom w:val="single" w:color="D9E2EC" w:sz="1"/>
              <w:right w:val="single" w:color="D9E2EC" w:sz="1"/>
            </w:tcBorders>
            <w:shd w:fill="E8F1FA" w:val="clear"/>
            <w:tcMar>
              <w:top w:type="dxa" w:w="80"/>
              <w:left w:type="dxa" w:w="120"/>
              <w:bottom w:type="dxa" w:w="80"/>
              <w:right w:type="dxa" w:w="100"/>
            </w:tcMar>
            <w:vAlign w:val="center"/>
          </w:tcPr>
          <w:p>
            <w:pPr>
              <w:jc w:val="center"/>
            </w:pPr>
            <w:r>
              <w:rPr>
                <w:b/>
                <w:bCs/>
                <w:color w:val="1E6FB8"/>
                <w:sz w:val="20"/>
                <w:szCs w:val="20"/>
              </w:rPr>
              <w:t xml:space="preserve">2021</w:t>
            </w:r>
          </w:p>
        </w:tc>
        <w:tc>
          <w:tcPr>
            <w:tcW w:type="dxa" w:w="8060"/>
            <w:tcBorders>
              <w:top w:val="single" w:color="D9E2EC" w:sz="1"/>
              <w:left w:val="single" w:color="D9E2EC" w:sz="1"/>
              <w:bottom w:val="single" w:color="D9E2EC" w:sz="1"/>
              <w:right w:val="single" w:color="D9E2EC" w:sz="1"/>
            </w:tcBorders>
            <w:shd w:fill="E8F1FA" w:val="clear"/>
            <w:tcMar>
              <w:top w:type="dxa" w:w="80"/>
              <w:left w:type="dxa" w:w="140"/>
              <w:bottom w:type="dxa" w:w="80"/>
              <w:right w:type="dxa" w:w="120"/>
            </w:tcMar>
          </w:tcPr>
          <w:p>
            <w:r>
              <w:rPr>
                <w:color w:val="333333"/>
                <w:sz w:val="20"/>
                <w:szCs w:val="20"/>
              </w:rPr>
              <w:t xml:space="preserve">Partner of the Year 2021 in Indonesia</w:t>
            </w:r>
          </w:p>
        </w:tc>
      </w:tr>
      <w:tr>
        <w:tc>
          <w:tcPr>
            <w:tcW w:type="dxa" w:w="1300"/>
            <w:tcBorders>
              <w:top w:val="single" w:color="D9E2EC" w:sz="1"/>
              <w:left w:val="single" w:color="D9E2EC" w:sz="1"/>
              <w:bottom w:val="single" w:color="D9E2EC" w:sz="1"/>
              <w:right w:val="single" w:color="D9E2EC" w:sz="1"/>
            </w:tcBorders>
            <w:shd w:fill="FFFFFF" w:val="clear"/>
            <w:tcMar>
              <w:top w:type="dxa" w:w="80"/>
              <w:left w:type="dxa" w:w="120"/>
              <w:bottom w:type="dxa" w:w="80"/>
              <w:right w:type="dxa" w:w="100"/>
            </w:tcMar>
            <w:vAlign w:val="center"/>
          </w:tcPr>
          <w:p>
            <w:pPr>
              <w:jc w:val="center"/>
            </w:pPr>
            <w:r>
              <w:rPr>
                <w:b/>
                <w:bCs/>
                <w:color w:val="1E6FB8"/>
                <w:sz w:val="20"/>
                <w:szCs w:val="20"/>
              </w:rPr>
              <w:t xml:space="preserve">2021</w:t>
            </w:r>
          </w:p>
        </w:tc>
        <w:tc>
          <w:tcPr>
            <w:tcW w:type="dxa" w:w="8060"/>
            <w:tcBorders>
              <w:top w:val="single" w:color="D9E2EC" w:sz="1"/>
              <w:left w:val="single" w:color="D9E2EC" w:sz="1"/>
              <w:bottom w:val="single" w:color="D9E2EC" w:sz="1"/>
              <w:right w:val="single" w:color="D9E2EC" w:sz="1"/>
            </w:tcBorders>
            <w:shd w:fill="FFFFFF" w:val="clear"/>
            <w:tcMar>
              <w:top w:type="dxa" w:w="80"/>
              <w:left w:type="dxa" w:w="140"/>
              <w:bottom w:type="dxa" w:w="80"/>
              <w:right w:type="dxa" w:w="120"/>
            </w:tcMar>
          </w:tcPr>
          <w:p>
            <w:r>
              <w:rPr>
                <w:color w:val="333333"/>
                <w:sz w:val="20"/>
                <w:szCs w:val="20"/>
              </w:rPr>
              <w:t xml:space="preserve">Best Cloud Partner 2021  •  Best RISE Partner 2021  •  Best Cloud Renewal Partner (SEA)</w:t>
            </w:r>
          </w:p>
        </w:tc>
      </w:tr>
      <w:tr>
        <w:tc>
          <w:tcPr>
            <w:tcW w:type="dxa" w:w="1300"/>
            <w:tcBorders>
              <w:top w:val="single" w:color="D9E2EC" w:sz="1"/>
              <w:left w:val="single" w:color="D9E2EC" w:sz="1"/>
              <w:bottom w:val="single" w:color="D9E2EC" w:sz="1"/>
              <w:right w:val="single" w:color="D9E2EC" w:sz="1"/>
            </w:tcBorders>
            <w:shd w:fill="E8F1FA" w:val="clear"/>
            <w:tcMar>
              <w:top w:type="dxa" w:w="80"/>
              <w:left w:type="dxa" w:w="120"/>
              <w:bottom w:type="dxa" w:w="80"/>
              <w:right w:type="dxa" w:w="100"/>
            </w:tcMar>
            <w:vAlign w:val="center"/>
          </w:tcPr>
          <w:p>
            <w:pPr>
              <w:jc w:val="center"/>
            </w:pPr>
            <w:r>
              <w:rPr>
                <w:b/>
                <w:bCs/>
                <w:color w:val="1E6FB8"/>
                <w:sz w:val="20"/>
                <w:szCs w:val="20"/>
              </w:rPr>
              <w:t xml:space="preserve">2021</w:t>
            </w:r>
          </w:p>
        </w:tc>
        <w:tc>
          <w:tcPr>
            <w:tcW w:type="dxa" w:w="8060"/>
            <w:tcBorders>
              <w:top w:val="single" w:color="D9E2EC" w:sz="1"/>
              <w:left w:val="single" w:color="D9E2EC" w:sz="1"/>
              <w:bottom w:val="single" w:color="D9E2EC" w:sz="1"/>
              <w:right w:val="single" w:color="D9E2EC" w:sz="1"/>
            </w:tcBorders>
            <w:shd w:fill="E8F1FA" w:val="clear"/>
            <w:tcMar>
              <w:top w:type="dxa" w:w="80"/>
              <w:left w:type="dxa" w:w="140"/>
              <w:bottom w:type="dxa" w:w="80"/>
              <w:right w:type="dxa" w:w="120"/>
            </w:tcMar>
          </w:tcPr>
          <w:p>
            <w:r>
              <w:rPr>
                <w:color w:val="333333"/>
                <w:sz w:val="20"/>
                <w:szCs w:val="20"/>
              </w:rPr>
              <w:t xml:space="preserve">Siemens Partner of the Year (Cloud)</w:t>
            </w:r>
          </w:p>
        </w:tc>
      </w:tr>
      <w:tr>
        <w:tc>
          <w:tcPr>
            <w:tcW w:type="dxa" w:w="1300"/>
            <w:tcBorders>
              <w:top w:val="single" w:color="D9E2EC" w:sz="1"/>
              <w:left w:val="single" w:color="D9E2EC" w:sz="1"/>
              <w:bottom w:val="single" w:color="D9E2EC" w:sz="1"/>
              <w:right w:val="single" w:color="D9E2EC" w:sz="1"/>
            </w:tcBorders>
            <w:shd w:fill="FFFFFF" w:val="clear"/>
            <w:tcMar>
              <w:top w:type="dxa" w:w="80"/>
              <w:left w:type="dxa" w:w="120"/>
              <w:bottom w:type="dxa" w:w="80"/>
              <w:right w:type="dxa" w:w="100"/>
            </w:tcMar>
            <w:vAlign w:val="center"/>
          </w:tcPr>
          <w:p>
            <w:pPr>
              <w:jc w:val="center"/>
            </w:pPr>
            <w:r>
              <w:rPr>
                <w:b/>
                <w:bCs/>
                <w:color w:val="1E6FB8"/>
                <w:sz w:val="20"/>
                <w:szCs w:val="20"/>
              </w:rPr>
              <w:t xml:space="preserve">2019</w:t>
            </w:r>
          </w:p>
        </w:tc>
        <w:tc>
          <w:tcPr>
            <w:tcW w:type="dxa" w:w="8060"/>
            <w:tcBorders>
              <w:top w:val="single" w:color="D9E2EC" w:sz="1"/>
              <w:left w:val="single" w:color="D9E2EC" w:sz="1"/>
              <w:bottom w:val="single" w:color="D9E2EC" w:sz="1"/>
              <w:right w:val="single" w:color="D9E2EC" w:sz="1"/>
            </w:tcBorders>
            <w:shd w:fill="FFFFFF" w:val="clear"/>
            <w:tcMar>
              <w:top w:type="dxa" w:w="80"/>
              <w:left w:type="dxa" w:w="140"/>
              <w:bottom w:type="dxa" w:w="80"/>
              <w:right w:type="dxa" w:w="120"/>
            </w:tcMar>
          </w:tcPr>
          <w:p>
            <w:r>
              <w:rPr>
                <w:color w:val="333333"/>
                <w:sz w:val="20"/>
                <w:szCs w:val="20"/>
              </w:rPr>
              <w:t xml:space="preserve">SAP Best DRS Partner  •  SAP Best Cloud Partner  •  SAP General Business Partner of the Year</w:t>
            </w:r>
          </w:p>
        </w:tc>
      </w:tr>
      <w:tr>
        <w:tc>
          <w:tcPr>
            <w:tcW w:type="dxa" w:w="1300"/>
            <w:tcBorders>
              <w:top w:val="single" w:color="D9E2EC" w:sz="1"/>
              <w:left w:val="single" w:color="D9E2EC" w:sz="1"/>
              <w:bottom w:val="single" w:color="D9E2EC" w:sz="1"/>
              <w:right w:val="single" w:color="D9E2EC" w:sz="1"/>
            </w:tcBorders>
            <w:shd w:fill="E8F1FA" w:val="clear"/>
            <w:tcMar>
              <w:top w:type="dxa" w:w="80"/>
              <w:left w:type="dxa" w:w="120"/>
              <w:bottom w:type="dxa" w:w="80"/>
              <w:right w:type="dxa" w:w="100"/>
            </w:tcMar>
            <w:vAlign w:val="center"/>
          </w:tcPr>
          <w:p>
            <w:pPr>
              <w:jc w:val="center"/>
            </w:pPr>
            <w:r>
              <w:rPr>
                <w:b/>
                <w:bCs/>
                <w:color w:val="1E6FB8"/>
                <w:sz w:val="20"/>
                <w:szCs w:val="20"/>
              </w:rPr>
              <w:t xml:space="preserve">2018</w:t>
            </w:r>
          </w:p>
        </w:tc>
        <w:tc>
          <w:tcPr>
            <w:tcW w:type="dxa" w:w="8060"/>
            <w:tcBorders>
              <w:top w:val="single" w:color="D9E2EC" w:sz="1"/>
              <w:left w:val="single" w:color="D9E2EC" w:sz="1"/>
              <w:bottom w:val="single" w:color="D9E2EC" w:sz="1"/>
              <w:right w:val="single" w:color="D9E2EC" w:sz="1"/>
            </w:tcBorders>
            <w:shd w:fill="E8F1FA" w:val="clear"/>
            <w:tcMar>
              <w:top w:type="dxa" w:w="80"/>
              <w:left w:type="dxa" w:w="140"/>
              <w:bottom w:type="dxa" w:w="80"/>
              <w:right w:type="dxa" w:w="120"/>
            </w:tcMar>
          </w:tcPr>
          <w:p>
            <w:r>
              <w:rPr>
                <w:color w:val="333333"/>
                <w:sz w:val="20"/>
                <w:szCs w:val="20"/>
              </w:rPr>
              <w:t xml:space="preserve">SAP Best Cloud / DRS / General Business Partner  •  Best Newcomer of the Year (On Premise)</w:t>
            </w:r>
          </w:p>
        </w:tc>
      </w:tr>
      <w:tr>
        <w:tc>
          <w:tcPr>
            <w:tcW w:type="dxa" w:w="1300"/>
            <w:tcBorders>
              <w:top w:val="single" w:color="D9E2EC" w:sz="1"/>
              <w:left w:val="single" w:color="D9E2EC" w:sz="1"/>
              <w:bottom w:val="single" w:color="D9E2EC" w:sz="1"/>
              <w:right w:val="single" w:color="D9E2EC" w:sz="1"/>
            </w:tcBorders>
            <w:shd w:fill="FFFFFF" w:val="clear"/>
            <w:tcMar>
              <w:top w:type="dxa" w:w="80"/>
              <w:left w:type="dxa" w:w="120"/>
              <w:bottom w:type="dxa" w:w="80"/>
              <w:right w:type="dxa" w:w="100"/>
            </w:tcMar>
            <w:vAlign w:val="center"/>
          </w:tcPr>
          <w:p>
            <w:pPr>
              <w:jc w:val="center"/>
            </w:pPr>
            <w:r>
              <w:rPr>
                <w:b/>
                <w:bCs/>
                <w:color w:val="1E6FB8"/>
                <w:sz w:val="20"/>
                <w:szCs w:val="20"/>
              </w:rPr>
              <w:t xml:space="preserve">2017</w:t>
            </w:r>
          </w:p>
        </w:tc>
        <w:tc>
          <w:tcPr>
            <w:tcW w:type="dxa" w:w="8060"/>
            <w:tcBorders>
              <w:top w:val="single" w:color="D9E2EC" w:sz="1"/>
              <w:left w:val="single" w:color="D9E2EC" w:sz="1"/>
              <w:bottom w:val="single" w:color="D9E2EC" w:sz="1"/>
              <w:right w:val="single" w:color="D9E2EC" w:sz="1"/>
            </w:tcBorders>
            <w:shd w:fill="FFFFFF" w:val="clear"/>
            <w:tcMar>
              <w:top w:type="dxa" w:w="80"/>
              <w:left w:type="dxa" w:w="140"/>
              <w:bottom w:type="dxa" w:w="80"/>
              <w:right w:type="dxa" w:w="120"/>
            </w:tcMar>
          </w:tcPr>
          <w:p>
            <w:r>
              <w:rPr>
                <w:color w:val="333333"/>
                <w:sz w:val="20"/>
                <w:szCs w:val="20"/>
              </w:rPr>
              <w:t xml:space="preserve">SAP Indonesia Partner of the Year  •  Best Cloud / HANA / DRS Partner</w:t>
            </w:r>
          </w:p>
        </w:tc>
      </w:tr>
      <w:tr>
        <w:tc>
          <w:tcPr>
            <w:tcW w:type="dxa" w:w="1300"/>
            <w:tcBorders>
              <w:top w:val="single" w:color="D9E2EC" w:sz="1"/>
              <w:left w:val="single" w:color="D9E2EC" w:sz="1"/>
              <w:bottom w:val="single" w:color="D9E2EC" w:sz="1"/>
              <w:right w:val="single" w:color="D9E2EC" w:sz="1"/>
            </w:tcBorders>
            <w:shd w:fill="E8F1FA" w:val="clear"/>
            <w:tcMar>
              <w:top w:type="dxa" w:w="80"/>
              <w:left w:type="dxa" w:w="120"/>
              <w:bottom w:type="dxa" w:w="80"/>
              <w:right w:type="dxa" w:w="100"/>
            </w:tcMar>
            <w:vAlign w:val="center"/>
          </w:tcPr>
          <w:p>
            <w:pPr>
              <w:jc w:val="center"/>
            </w:pPr>
            <w:r>
              <w:rPr>
                <w:b/>
                <w:bCs/>
                <w:color w:val="1E6FB8"/>
                <w:sz w:val="20"/>
                <w:szCs w:val="20"/>
              </w:rPr>
              <w:t xml:space="preserve">2014–15</w:t>
            </w:r>
          </w:p>
        </w:tc>
        <w:tc>
          <w:tcPr>
            <w:tcW w:type="dxa" w:w="8060"/>
            <w:tcBorders>
              <w:top w:val="single" w:color="D9E2EC" w:sz="1"/>
              <w:left w:val="single" w:color="D9E2EC" w:sz="1"/>
              <w:bottom w:val="single" w:color="D9E2EC" w:sz="1"/>
              <w:right w:val="single" w:color="D9E2EC" w:sz="1"/>
            </w:tcBorders>
            <w:shd w:fill="E8F1FA" w:val="clear"/>
            <w:tcMar>
              <w:top w:type="dxa" w:w="80"/>
              <w:left w:type="dxa" w:w="140"/>
              <w:bottom w:type="dxa" w:w="80"/>
              <w:right w:type="dxa" w:w="120"/>
            </w:tcMar>
          </w:tcPr>
          <w:p>
            <w:r>
              <w:rPr>
                <w:color w:val="333333"/>
                <w:sz w:val="20"/>
                <w:szCs w:val="20"/>
              </w:rPr>
              <w:t xml:space="preserve">SAP Excellence Award — Partner of the Year, Best HANA Partner, Top Revenue Contributor, Best Cloud Innovation</w:t>
            </w:r>
          </w:p>
        </w:tc>
      </w:tr>
    </w:tbl>
    <w:p>
      <w:r>
        <w:br w:type="page"/>
      </w:r>
    </w:p>
    <w:p>
      <w:pPr>
        <w:pStyle w:val="Heading1"/>
      </w:pPr>
      <w:r>
        <w:t xml:space="preserve">Pelanggan &amp; Testimoni</w:t>
      </w:r>
    </w:p>
    <w:p>
      <w:pPr>
        <w:spacing w:after="160" w:line="276"/>
      </w:pPr>
      <w:r>
        <w:rPr>
          <w:color w:val="333333"/>
          <w:sz w:val="22"/>
          <w:szCs w:val="22"/>
        </w:rPr>
        <w:t xml:space="preserve">Soltius melayani lebih dari 120 klien di Indonesia dan kawasan regional di berbagai industri. Keberhasilan perusahaan dibangun atas kepercayaan yang diperoleh dari klien — para strategis Soltius bekerja berdampingan dengan klien untuk mengidentifikasi solusi perangkat lunak yang tepat dalam menyelesaikan tantangan perusahaan yang kompleks.</w:t>
      </w:r>
    </w:p>
    <w:p>
      <w:pPr>
        <w:spacing w:after="100" w:line="276"/>
      </w:pPr>
      <w:r>
        <w:rPr>
          <w:color w:val="333333"/>
          <w:sz w:val="22"/>
          <w:szCs w:val="22"/>
        </w:rPr>
        <w:t xml:space="preserve">Beberapa pelanggan yang membagikan pengalaman bekerja sama dengan Soltius antara lain:</w:t>
      </w:r>
    </w:p>
    <w:p>
      <w:pPr>
        <w:pStyle w:val="ListParagraph"/>
        <w:numPr>
          <w:ilvl w:val="0"/>
          <w:numId w:val="2"/>
        </w:numPr>
        <w:spacing w:after="100" w:line="270"/>
      </w:pPr>
      <w:r>
        <w:rPr>
          <w:color w:val="333333"/>
          <w:sz w:val="22"/>
          <w:szCs w:val="22"/>
        </w:rPr>
        <w:t xml:space="preserve">PT Honda Power Products Indonesia — kemudahan bisnis multi-gudang</w:t>
      </w:r>
    </w:p>
    <w:p>
      <w:pPr>
        <w:pStyle w:val="ListParagraph"/>
        <w:numPr>
          <w:ilvl w:val="0"/>
          <w:numId w:val="2"/>
        </w:numPr>
        <w:spacing w:after="100" w:line="270"/>
      </w:pPr>
      <w:r>
        <w:rPr>
          <w:color w:val="333333"/>
          <w:sz w:val="22"/>
          <w:szCs w:val="22"/>
        </w:rPr>
        <w:t xml:space="preserve">PT Tigaraksa Satria Tbk — menjalankan bisnis pada jalur cepat (SAP ECC 6.0 &amp; BW on HANA)</w:t>
      </w:r>
    </w:p>
    <w:p>
      <w:pPr>
        <w:pStyle w:val="ListParagraph"/>
        <w:numPr>
          <w:ilvl w:val="0"/>
          <w:numId w:val="2"/>
        </w:numPr>
        <w:spacing w:after="100" w:line="270"/>
      </w:pPr>
      <w:r>
        <w:rPr>
          <w:color w:val="333333"/>
          <w:sz w:val="22"/>
          <w:szCs w:val="22"/>
        </w:rPr>
        <w:t xml:space="preserve">PT Biggy Cemerlang — peningkatan kinerja dengan sistem terintegrasi</w:t>
      </w:r>
    </w:p>
    <w:p>
      <w:pPr>
        <w:pStyle w:val="ListParagraph"/>
        <w:numPr>
          <w:ilvl w:val="0"/>
          <w:numId w:val="2"/>
        </w:numPr>
        <w:spacing w:after="100" w:line="270"/>
      </w:pPr>
      <w:r>
        <w:rPr>
          <w:color w:val="333333"/>
          <w:sz w:val="22"/>
          <w:szCs w:val="22"/>
        </w:rPr>
        <w:t xml:space="preserve">PT HPI Agro — produktivitas pertanian berkelanjutan</w:t>
      </w:r>
    </w:p>
    <w:p>
      <w:pPr>
        <w:pStyle w:val="ListParagraph"/>
        <w:numPr>
          <w:ilvl w:val="0"/>
          <w:numId w:val="2"/>
        </w:numPr>
        <w:spacing w:after="100" w:line="270"/>
      </w:pPr>
      <w:r>
        <w:rPr>
          <w:color w:val="333333"/>
          <w:sz w:val="22"/>
          <w:szCs w:val="22"/>
        </w:rPr>
        <w:t xml:space="preserve">PT Great Giant Pineapple — fleksibilitas dalam perubahan</w:t>
      </w:r>
    </w:p>
    <w:p>
      <w:pPr>
        <w:pStyle w:val="ListParagraph"/>
        <w:numPr>
          <w:ilvl w:val="0"/>
          <w:numId w:val="2"/>
        </w:numPr>
        <w:spacing w:after="100" w:line="270"/>
      </w:pPr>
      <w:r>
        <w:rPr>
          <w:color w:val="333333"/>
          <w:sz w:val="22"/>
          <w:szCs w:val="22"/>
        </w:rPr>
        <w:t xml:space="preserve">PT Berri Indosari — keunggulan kecepatan dan ketertelusuran (traceability)</w:t>
      </w:r>
    </w:p>
    <w:p>
      <w:pPr>
        <w:spacing w:after="60" w:line="276"/>
      </w:pPr>
      <w:r>
        <w:rPr>
          <w:color w:val="333333"/>
          <w:sz w:val="22"/>
          <w:szCs w:val="22"/>
        </w:rPr>
        <w:t xml:space="preserve"/>
      </w:r>
    </w:p>
    <w:p>
      <w:pPr>
        <w:spacing w:after="160" w:line="276"/>
      </w:pPr>
      <w:r>
        <w:rPr>
          <w:i/>
          <w:iCs/>
          <w:color w:val="5A6B7B"/>
          <w:sz w:val="22"/>
          <w:szCs w:val="22"/>
        </w:rPr>
        <w:t xml:space="preserve">Fokus Soltius tidak berhenti pada saat go-live; perusahaan menekankan dukungan pasca-implementasi dan customer care yang berkelanjutan sebagai bagian dari hubungan jangka panjang dengan pelanggan.</w:t>
      </w:r>
    </w:p>
    <w:p>
      <w:r>
        <w:br w:type="page"/>
      </w:r>
    </w:p>
    <w:p>
      <w:pPr>
        <w:pStyle w:val="Heading1"/>
      </w:pPr>
      <w:r>
        <w:t xml:space="preserve">Jaringan Mitra (Principals &amp; Partners)</w:t>
      </w:r>
    </w:p>
    <w:p>
      <w:pPr>
        <w:spacing w:after="160" w:line="276"/>
      </w:pPr>
      <w:r>
        <w:rPr>
          <w:color w:val="333333"/>
          <w:sz w:val="22"/>
          <w:szCs w:val="22"/>
        </w:rPr>
        <w:t xml:space="preserve">Jaringan mitra strategis dan solusi Soltius yang kuat menghadirkan beragam solusi di seluruh tingkatan untuk menyelesaikan tantangan bisnis yang kritis. Kolaborasi dengan jumlah mitra yang terus bertambah memungkinkan Soltius mempercepat perubahan serta melayani klien secara lebih efisien dan efektif.</w:t>
      </w:r>
    </w:p>
    <w:p>
      <w:pPr>
        <w:pStyle w:val="Heading2"/>
      </w:pPr>
      <w:r>
        <w:t xml:space="preserve">Principals</w:t>
      </w:r>
    </w:p>
    <w:p>
      <w:pPr>
        <w:spacing w:after="160" w:line="276"/>
      </w:pPr>
      <w:r>
        <w:rPr>
          <w:color w:val="333333"/>
          <w:sz w:val="22"/>
          <w:szCs w:val="22"/>
        </w:rPr>
        <w:t xml:space="preserve">Sebagai pakar di bidangnya, principals dalam jaringan Soltius merepresentasikan hubungan yang paling dalam dan paling kritis — dengan SAP sebagai principal utama, didukung status SAP Platinum Partner.</w:t>
      </w:r>
    </w:p>
    <w:p>
      <w:pPr>
        <w:pStyle w:val="Heading2"/>
      </w:pPr>
      <w:r>
        <w:t xml:space="preserve">Partners</w:t>
      </w:r>
    </w:p>
    <w:p>
      <w:pPr>
        <w:spacing w:after="160" w:line="276"/>
      </w:pPr>
      <w:r>
        <w:rPr>
          <w:color w:val="333333"/>
          <w:sz w:val="22"/>
          <w:szCs w:val="22"/>
        </w:rPr>
        <w:t xml:space="preserve">Sejumlah solution partners yang terus bertambah berkolaborasi dengan Soltius untuk menciptakan solusi transformasi bisnis yang komprehensif, termasuk kemitraan teknologi cloud seperti Huawei Cloud dan Siemens.</w:t>
      </w:r>
    </w:p>
    <w:p>
      <w:pPr>
        <w:pStyle w:val="Heading2"/>
      </w:pPr>
      <w:r>
        <w:t xml:space="preserve">United VARs</w:t>
      </w:r>
    </w:p>
    <w:p>
      <w:pPr>
        <w:spacing w:after="160" w:line="276"/>
      </w:pPr>
      <w:r>
        <w:rPr>
          <w:color w:val="333333"/>
          <w:sz w:val="22"/>
          <w:szCs w:val="22"/>
        </w:rPr>
        <w:t xml:space="preserve">Soltius adalah anggota United VARs — aliansi terdepan penyedia solusi SAP untuk mid-market, yang terdiri atas 45 VAR terkemuka di lebih dari 90 negara, dengan 10.000 konsultan SAP bersertifikat melayani lebih dari 8.000 pelanggan di seluruh dunia. Keanggotaan ini menjamin layanan dan dukungan terbaik untuk proyek roll-out internasional, optimasi ERP, serta nearshoring lintas negara.</w:t>
      </w:r>
    </w:p>
    <w:p>
      <w:r>
        <w:br w:type="page"/>
      </w:r>
    </w:p>
    <w:p>
      <w:pPr>
        <w:pStyle w:val="Heading1"/>
      </w:pPr>
      <w:r>
        <w:t xml:space="preserve">Informasi Kontak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E2EC" w:sz="1"/>
              <w:left w:val="single" w:color="D9E2EC" w:sz="1"/>
              <w:bottom w:val="single" w:color="D9E2EC" w:sz="1"/>
              <w:right w:val="single" w:color="D9E2EC" w:sz="1"/>
            </w:tcBorders>
            <w:shd w:fill="E8F1FA" w:val="clear"/>
            <w:tcMar>
              <w:top w:type="dxa" w:w="90"/>
              <w:left w:type="dxa" w:w="140"/>
              <w:bottom w:type="dxa" w:w="90"/>
              <w:right w:type="dxa" w:w="120"/>
            </w:tcMar>
          </w:tcPr>
          <w:p>
            <w:r>
              <w:rPr>
                <w:b/>
                <w:bCs/>
                <w:color w:val="0B2A4A"/>
                <w:sz w:val="20"/>
                <w:szCs w:val="20"/>
              </w:rPr>
              <w:t xml:space="preserve">Perusahaan</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PT Soltius Indonesia</w:t>
            </w:r>
          </w:p>
        </w:tc>
      </w:tr>
      <w:tr>
        <w:tc>
          <w:tcPr>
            <w:tcW w:type="dxa" w:w="2800"/>
            <w:tcBorders>
              <w:top w:val="single" w:color="D9E2EC" w:sz="1"/>
              <w:left w:val="single" w:color="D9E2EC" w:sz="1"/>
              <w:bottom w:val="single" w:color="D9E2EC" w:sz="1"/>
              <w:right w:val="single" w:color="D9E2EC" w:sz="1"/>
            </w:tcBorders>
            <w:shd w:fill="FFFFFF" w:val="clear"/>
            <w:tcMar>
              <w:top w:type="dxa" w:w="90"/>
              <w:left w:type="dxa" w:w="140"/>
              <w:bottom w:type="dxa" w:w="90"/>
              <w:right w:type="dxa" w:w="120"/>
            </w:tcMar>
          </w:tcPr>
          <w:p>
            <w:r>
              <w:rPr>
                <w:b/>
                <w:bCs/>
                <w:color w:val="0B2A4A"/>
                <w:sz w:val="20"/>
                <w:szCs w:val="20"/>
              </w:rPr>
              <w:t xml:space="preserve">Alamat</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Soho Capital @Podomoro City, Lantai 15 Suite SC-1503-05</w:t>
            </w:r>
          </w:p>
          <w:p>
            <w:r>
              <w:rPr>
                <w:color w:val="333333"/>
                <w:sz w:val="20"/>
                <w:szCs w:val="20"/>
              </w:rPr>
              <w:t xml:space="preserve">Jl. Letjen S. Parman Kav. 28, Tanjung Duren Selatan,</w:t>
            </w:r>
          </w:p>
          <w:p>
            <w:r>
              <w:rPr>
                <w:color w:val="333333"/>
                <w:sz w:val="20"/>
                <w:szCs w:val="20"/>
              </w:rPr>
              <w:t xml:space="preserve">Grogol Petamburan, Jakarta Barat 11470</w:t>
            </w:r>
          </w:p>
        </w:tc>
      </w:tr>
      <w:tr>
        <w:tc>
          <w:tcPr>
            <w:tcW w:type="dxa" w:w="2800"/>
            <w:tcBorders>
              <w:top w:val="single" w:color="D9E2EC" w:sz="1"/>
              <w:left w:val="single" w:color="D9E2EC" w:sz="1"/>
              <w:bottom w:val="single" w:color="D9E2EC" w:sz="1"/>
              <w:right w:val="single" w:color="D9E2EC" w:sz="1"/>
            </w:tcBorders>
            <w:shd w:fill="E8F1FA" w:val="clear"/>
            <w:tcMar>
              <w:top w:type="dxa" w:w="90"/>
              <w:left w:type="dxa" w:w="140"/>
              <w:bottom w:type="dxa" w:w="90"/>
              <w:right w:type="dxa" w:w="120"/>
            </w:tcMar>
          </w:tcPr>
          <w:p>
            <w:r>
              <w:rPr>
                <w:b/>
                <w:bCs/>
                <w:color w:val="0B2A4A"/>
                <w:sz w:val="20"/>
                <w:szCs w:val="20"/>
              </w:rPr>
              <w:t xml:space="preserve">Telepon</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+62 21 29345 900</w:t>
            </w:r>
          </w:p>
        </w:tc>
      </w:tr>
      <w:tr>
        <w:tc>
          <w:tcPr>
            <w:tcW w:type="dxa" w:w="2800"/>
            <w:tcBorders>
              <w:top w:val="single" w:color="D9E2EC" w:sz="1"/>
              <w:left w:val="single" w:color="D9E2EC" w:sz="1"/>
              <w:bottom w:val="single" w:color="D9E2EC" w:sz="1"/>
              <w:right w:val="single" w:color="D9E2EC" w:sz="1"/>
            </w:tcBorders>
            <w:shd w:fill="FFFFFF" w:val="clear"/>
            <w:tcMar>
              <w:top w:type="dxa" w:w="90"/>
              <w:left w:type="dxa" w:w="140"/>
              <w:bottom w:type="dxa" w:w="90"/>
              <w:right w:type="dxa" w:w="120"/>
            </w:tcMar>
          </w:tcPr>
          <w:p>
            <w:r>
              <w:rPr>
                <w:b/>
                <w:bCs/>
                <w:color w:val="0B2A4A"/>
                <w:sz w:val="20"/>
                <w:szCs w:val="20"/>
              </w:rPr>
              <w:t xml:space="preserve">Sales Query</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+62 21 29345 925</w:t>
            </w:r>
          </w:p>
        </w:tc>
      </w:tr>
      <w:tr>
        <w:tc>
          <w:tcPr>
            <w:tcW w:type="dxa" w:w="2800"/>
            <w:tcBorders>
              <w:top w:val="single" w:color="D9E2EC" w:sz="1"/>
              <w:left w:val="single" w:color="D9E2EC" w:sz="1"/>
              <w:bottom w:val="single" w:color="D9E2EC" w:sz="1"/>
              <w:right w:val="single" w:color="D9E2EC" w:sz="1"/>
            </w:tcBorders>
            <w:shd w:fill="E8F1FA" w:val="clear"/>
            <w:tcMar>
              <w:top w:type="dxa" w:w="90"/>
              <w:left w:type="dxa" w:w="140"/>
              <w:bottom w:type="dxa" w:w="90"/>
              <w:right w:type="dxa" w:w="120"/>
            </w:tcMar>
          </w:tcPr>
          <w:p>
            <w:r>
              <w:rPr>
                <w:b/>
                <w:bCs/>
                <w:color w:val="0B2A4A"/>
                <w:sz w:val="20"/>
                <w:szCs w:val="20"/>
              </w:rPr>
              <w:t xml:space="preserve">Fax</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+62 21 29345 909</w:t>
            </w:r>
          </w:p>
        </w:tc>
      </w:tr>
      <w:tr>
        <w:tc>
          <w:tcPr>
            <w:tcW w:type="dxa" w:w="2800"/>
            <w:tcBorders>
              <w:top w:val="single" w:color="D9E2EC" w:sz="1"/>
              <w:left w:val="single" w:color="D9E2EC" w:sz="1"/>
              <w:bottom w:val="single" w:color="D9E2EC" w:sz="1"/>
              <w:right w:val="single" w:color="D9E2EC" w:sz="1"/>
            </w:tcBorders>
            <w:shd w:fill="FFFFFF" w:val="clear"/>
            <w:tcMar>
              <w:top w:type="dxa" w:w="90"/>
              <w:left w:type="dxa" w:w="140"/>
              <w:bottom w:type="dxa" w:w="90"/>
              <w:right w:type="dxa" w:w="120"/>
            </w:tcMar>
          </w:tcPr>
          <w:p>
            <w:r>
              <w:rPr>
                <w:b/>
                <w:bCs/>
                <w:color w:val="0B2A4A"/>
                <w:sz w:val="20"/>
                <w:szCs w:val="20"/>
              </w:rPr>
              <w:t xml:space="preserve">Website</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www.soltius.co.id</w:t>
            </w:r>
          </w:p>
        </w:tc>
      </w:tr>
      <w:tr>
        <w:tc>
          <w:tcPr>
            <w:tcW w:type="dxa" w:w="2800"/>
            <w:tcBorders>
              <w:top w:val="single" w:color="D9E2EC" w:sz="1"/>
              <w:left w:val="single" w:color="D9E2EC" w:sz="1"/>
              <w:bottom w:val="single" w:color="D9E2EC" w:sz="1"/>
              <w:right w:val="single" w:color="D9E2EC" w:sz="1"/>
            </w:tcBorders>
            <w:shd w:fill="E8F1FA" w:val="clear"/>
            <w:tcMar>
              <w:top w:type="dxa" w:w="90"/>
              <w:left w:type="dxa" w:w="140"/>
              <w:bottom w:type="dxa" w:w="90"/>
              <w:right w:type="dxa" w:w="120"/>
            </w:tcMar>
          </w:tcPr>
          <w:p>
            <w:r>
              <w:rPr>
                <w:b/>
                <w:bCs/>
                <w:color w:val="0B2A4A"/>
                <w:sz w:val="20"/>
                <w:szCs w:val="20"/>
              </w:rPr>
              <w:t xml:space="preserve">Media Sosial</w:t>
            </w:r>
          </w:p>
        </w:tc>
        <w:tc>
          <w:tcPr>
            <w:tcW w:type="dxa" w:w="6560"/>
            <w:tcBorders>
              <w:top w:val="single" w:color="D9E2EC" w:sz="1"/>
              <w:left w:val="single" w:color="D9E2EC" w:sz="1"/>
              <w:bottom w:val="single" w:color="D9E2EC" w:sz="1"/>
              <w:right w:val="single" w:color="D9E2EC" w:sz="1"/>
            </w:tcBorders>
            <w:tcMar>
              <w:top w:type="dxa" w:w="90"/>
              <w:left w:type="dxa" w:w="140"/>
              <w:bottom w:type="dxa" w:w="90"/>
              <w:right w:type="dxa" w:w="120"/>
            </w:tcMar>
          </w:tcPr>
          <w:p>
            <w:r>
              <w:rPr>
                <w:color w:val="333333"/>
                <w:sz w:val="20"/>
                <w:szCs w:val="20"/>
              </w:rPr>
              <w:t xml:space="preserve">Facebook: /SOLTIUSINDONESIA</w:t>
            </w:r>
          </w:p>
          <w:p>
            <w:r>
              <w:rPr>
                <w:color w:val="333333"/>
                <w:sz w:val="20"/>
                <w:szCs w:val="20"/>
              </w:rPr>
              <w:t xml:space="preserve">LinkedIn: /company/soltius</w:t>
            </w:r>
          </w:p>
          <w:p>
            <w:r>
              <w:rPr>
                <w:color w:val="333333"/>
                <w:sz w:val="20"/>
                <w:szCs w:val="20"/>
              </w:rPr>
              <w:t xml:space="preserve">Instagram: @soltiusindonesia</w:t>
            </w:r>
          </w:p>
          <w:p>
            <w:r>
              <w:rPr>
                <w:color w:val="333333"/>
                <w:sz w:val="20"/>
                <w:szCs w:val="20"/>
              </w:rPr>
              <w:t xml:space="preserve">X (Twitter): @soltiusindo</w:t>
            </w:r>
          </w:p>
          <w:p>
            <w:r>
              <w:rPr>
                <w:color w:val="333333"/>
                <w:sz w:val="20"/>
                <w:szCs w:val="20"/>
              </w:rPr>
              <w:t xml:space="preserve">YouTube: Soltius Indonesia</w:t>
            </w:r>
          </w:p>
        </w:tc>
      </w:tr>
    </w:tbl>
    <w:p>
      <w:pPr>
        <w:spacing w:before="300"/>
        <w:jc w:val="center"/>
      </w:pPr>
      <w:r>
        <w:rPr>
          <w:b/>
          <w:bCs/>
          <w:color w:val="0B2A4A"/>
          <w:sz w:val="24"/>
          <w:szCs w:val="24"/>
        </w:rPr>
        <w:t xml:space="preserve">Bagaimana kami dapat meningkatkan performa bisnis Anda?</w:t>
      </w:r>
    </w:p>
    <w:p>
      <w:pPr>
        <w:spacing w:after="200"/>
        <w:jc w:val="center"/>
      </w:pPr>
      <w:r>
        <w:rPr>
          <w:i/>
          <w:iCs/>
          <w:color w:val="5A6B7B"/>
          <w:sz w:val="22"/>
          <w:szCs w:val="22"/>
        </w:rPr>
        <w:t xml:space="preserve">Kami meminimalkan risiko dan memaksimalkan peluang.</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C" w:sz="4" w:space="4"/>
      </w:pBdr>
      <w:tabs>
        <w:tab w:val="right" w:pos="9360"/>
      </w:tabs>
    </w:pPr>
    <w:r>
      <w:rPr>
        <w:color w:val="1E6FB8"/>
        <w:sz w:val="16"/>
        <w:szCs w:val="16"/>
      </w:rPr>
      <w:t xml:space="preserve">www.soltius.co.id</w:t>
    </w:r>
    <w:r>
      <w:rPr>
        <w:color w:val="5A6B7B"/>
        <w:sz w:val="16"/>
        <w:szCs w:val="16"/>
      </w:rPr>
      <w:t xml:space="preserve">	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tabs>
        <w:tab w:val="right" w:pos="9360"/>
      </w:tabs>
    </w:pPr>
    <w:r>
      <w:rPr>
        <w:b/>
        <w:bCs/>
        <w:color w:val="0B2A4A"/>
        <w:sz w:val="16"/>
        <w:szCs w:val="16"/>
      </w:rPr>
      <w:t xml:space="preserve">PT SOLTIUS INDONESIA</w:t>
    </w:r>
    <w:r>
      <w:rPr>
        <w:color w:val="5A6B7B"/>
        <w:sz w:val="16"/>
        <w:szCs w:val="16"/>
      </w:rPr>
      <w:t xml:space="preserve">	Company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E6FB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A03D" w:sz="8" w:space="6"/>
      </w:pBdr>
      <w:spacing w:after="160" w:before="240"/>
      <w:outlineLvl w:val="0"/>
    </w:pPr>
    <w:rPr>
      <w:rFonts w:ascii="Arial" w:cs="Arial" w:eastAsia="Arial" w:hAnsi="Arial"/>
      <w:b/>
      <w:bCs/>
      <w:color w:val="0B2A4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E6F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 - PT Soltius Indonesia</dc:title>
  <dc:creator>Soltius Company Profile</dc:creator>
  <cp:lastModifiedBy>Un-named</cp:lastModifiedBy>
  <cp:revision>1</cp:revision>
  <dcterms:created xsi:type="dcterms:W3CDTF">2026-05-29T07:50:48.726Z</dcterms:created>
  <dcterms:modified xsi:type="dcterms:W3CDTF">2026-05-29T07:50:48.726Z</dcterms:modified>
</cp:coreProperties>
</file>

<file path=docProps/custom.xml><?xml version="1.0" encoding="utf-8"?>
<Properties xmlns="http://schemas.openxmlformats.org/officeDocument/2006/custom-properties" xmlns:vt="http://schemas.openxmlformats.org/officeDocument/2006/docPropsVTypes"/>
</file>