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"CNG &amp; Transisi Energi Indonesia: Peran Gas Bumi Menuju Energi Bersih"</w:t>
      </w:r>
      <w:r>
        <w:br/>
      </w:r>
      <w:r>
        <w:rPr>
          <w:rStyle w:val="FunctionTok"/>
        </w:rPr>
        <w:t xml:space="preserve">meta_title</w:t>
      </w:r>
      <w:r>
        <w:rPr>
          <w:rStyle w:val="KeywordTok"/>
        </w:rPr>
        <w:t xml:space="preserve">:</w:t>
      </w:r>
      <w:r>
        <w:rPr>
          <w:rStyle w:val="AttributeTok"/>
        </w:rPr>
        <w:t xml:space="preserve"> </w:t>
      </w:r>
      <w:r>
        <w:rPr>
          <w:rStyle w:val="StringTok"/>
        </w:rPr>
        <w:t xml:space="preserve">"CNG &amp; Transisi Energi: Peran Gas Bumi ke Energi Bersih"</w:t>
      </w:r>
      <w:r>
        <w:br/>
      </w:r>
      <w:r>
        <w:rPr>
          <w:rStyle w:val="FunctionTok"/>
        </w:rPr>
        <w:t xml:space="preserve">meta_description</w:t>
      </w:r>
      <w:r>
        <w:rPr>
          <w:rStyle w:val="KeywordTok"/>
        </w:rPr>
        <w:t xml:space="preserve">:</w:t>
      </w:r>
      <w:r>
        <w:rPr>
          <w:rStyle w:val="AttributeTok"/>
        </w:rPr>
        <w:t xml:space="preserve"> </w:t>
      </w:r>
      <w:r>
        <w:rPr>
          <w:rStyle w:val="StringTok"/>
        </w:rPr>
        <w:t xml:space="preserve">"Mengapa Indonesia mendorong gas bumi &amp; CNG menuju NZE 2060? Pahami peran gas sebagai energi transisi, target bauran 24%, dan batasnya yang jujur."</w:t>
      </w:r>
      <w:r>
        <w:br/>
      </w:r>
      <w:r>
        <w:rPr>
          <w:rStyle w:val="FunctionTok"/>
        </w:rPr>
        <w:t xml:space="preserve">slug</w:t>
      </w:r>
      <w:r>
        <w:rPr>
          <w:rStyle w:val="KeywordTok"/>
        </w:rPr>
        <w:t xml:space="preserve">:</w:t>
      </w:r>
      <w:r>
        <w:rPr>
          <w:rStyle w:val="AttributeTok"/>
        </w:rPr>
        <w:t xml:space="preserve"> </w:t>
      </w:r>
      <w:r>
        <w:rPr>
          <w:rStyle w:val="StringTok"/>
        </w:rPr>
        <w:t xml:space="preserve">"cng-transisi-energi-indonesia-gas-bumi"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"CNG Indonesia"</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"energi transisi (bridge fuel)"</w:t>
      </w:r>
      <w:r>
        <w:br/>
      </w:r>
      <w:r>
        <w:rPr>
          <w:rStyle w:val="AttributeTok"/>
        </w:rPr>
        <w:t xml:space="preserve">  </w:t>
      </w:r>
      <w:r>
        <w:rPr>
          <w:rStyle w:val="KeywordTok"/>
        </w:rPr>
        <w:t xml:space="preserve">-</w:t>
      </w:r>
      <w:r>
        <w:rPr>
          <w:rStyle w:val="AttributeTok"/>
        </w:rPr>
        <w:t xml:space="preserve"> </w:t>
      </w:r>
      <w:r>
        <w:rPr>
          <w:rStyle w:val="StringTok"/>
        </w:rPr>
        <w:t xml:space="preserve">"gas bumi sebagai energi jembatan"</w:t>
      </w:r>
      <w:r>
        <w:br/>
      </w:r>
      <w:r>
        <w:rPr>
          <w:rStyle w:val="AttributeTok"/>
        </w:rPr>
        <w:t xml:space="preserve">  </w:t>
      </w:r>
      <w:r>
        <w:rPr>
          <w:rStyle w:val="KeywordTok"/>
        </w:rPr>
        <w:t xml:space="preserve">-</w:t>
      </w:r>
      <w:r>
        <w:rPr>
          <w:rStyle w:val="AttributeTok"/>
        </w:rPr>
        <w:t xml:space="preserve"> </w:t>
      </w:r>
      <w:r>
        <w:rPr>
          <w:rStyle w:val="StringTok"/>
        </w:rPr>
        <w:t xml:space="preserve">"bauran energi nasional"</w:t>
      </w:r>
      <w:r>
        <w:br/>
      </w:r>
      <w:r>
        <w:rPr>
          <w:rStyle w:val="AttributeTok"/>
        </w:rPr>
        <w:t xml:space="preserve">  </w:t>
      </w:r>
      <w:r>
        <w:rPr>
          <w:rStyle w:val="KeywordTok"/>
        </w:rPr>
        <w:t xml:space="preserve">-</w:t>
      </w:r>
      <w:r>
        <w:rPr>
          <w:rStyle w:val="AttributeTok"/>
        </w:rPr>
        <w:t xml:space="preserve"> </w:t>
      </w:r>
      <w:r>
        <w:rPr>
          <w:rStyle w:val="StringTok"/>
        </w:rPr>
        <w:t xml:space="preserve">"Net Zero Emission (NZE) 2060"</w:t>
      </w:r>
      <w:r>
        <w:br/>
      </w:r>
      <w:r>
        <w:rPr>
          <w:rStyle w:val="AttributeTok"/>
        </w:rPr>
        <w:t xml:space="preserve">  </w:t>
      </w:r>
      <w:r>
        <w:rPr>
          <w:rStyle w:val="KeywordTok"/>
        </w:rPr>
        <w:t xml:space="preserve">-</w:t>
      </w:r>
      <w:r>
        <w:rPr>
          <w:rStyle w:val="AttributeTok"/>
        </w:rPr>
        <w:t xml:space="preserve"> </w:t>
      </w:r>
      <w:r>
        <w:rPr>
          <w:rStyle w:val="StringTok"/>
        </w:rPr>
        <w:t xml:space="preserve">"baseload backup EBT"</w:t>
      </w:r>
      <w:r>
        <w:br/>
      </w:r>
      <w:r>
        <w:rPr>
          <w:rStyle w:val="AttributeTok"/>
        </w:rPr>
        <w:t xml:space="preserve">  </w:t>
      </w:r>
      <w:r>
        <w:rPr>
          <w:rStyle w:val="KeywordTok"/>
        </w:rPr>
        <w:t xml:space="preserve">-</w:t>
      </w:r>
      <w:r>
        <w:rPr>
          <w:rStyle w:val="AttributeTok"/>
        </w:rPr>
        <w:t xml:space="preserve"> </w:t>
      </w:r>
      <w:r>
        <w:rPr>
          <w:rStyle w:val="StringTok"/>
        </w:rPr>
        <w:t xml:space="preserve">"dekarbonisasi industri"</w:t>
      </w:r>
      <w:r>
        <w:br/>
      </w:r>
      <w:r>
        <w:rPr>
          <w:rStyle w:val="AttributeTok"/>
        </w:rPr>
        <w:t xml:space="preserve">  </w:t>
      </w:r>
      <w:r>
        <w:rPr>
          <w:rStyle w:val="KeywordTok"/>
        </w:rPr>
        <w:t xml:space="preserve">-</w:t>
      </w:r>
      <w:r>
        <w:rPr>
          <w:rStyle w:val="AttributeTok"/>
        </w:rPr>
        <w:t xml:space="preserve"> </w:t>
      </w:r>
      <w:r>
        <w:rPr>
          <w:rStyle w:val="StringTok"/>
        </w:rPr>
        <w:t xml:space="preserve">"Compressed Natural Gas (CNG)"</w:t>
      </w:r>
      <w:r>
        <w:br/>
      </w:r>
      <w:r>
        <w:rPr>
          <w:rStyle w:val="AttributeTok"/>
        </w:rPr>
        <w:t xml:space="preserve">  </w:t>
      </w:r>
      <w:r>
        <w:rPr>
          <w:rStyle w:val="KeywordTok"/>
        </w:rPr>
        <w:t xml:space="preserve">-</w:t>
      </w:r>
      <w:r>
        <w:rPr>
          <w:rStyle w:val="AttributeTok"/>
        </w:rPr>
        <w:t xml:space="preserve"> </w:t>
      </w:r>
      <w:r>
        <w:rPr>
          <w:rStyle w:val="StringTok"/>
        </w:rPr>
        <w:t xml:space="preserve">"Rencana Umum Energi Nasional (RUEN)"</w:t>
      </w:r>
      <w:r>
        <w:br/>
      </w:r>
      <w:r>
        <w:rPr>
          <w:rStyle w:val="AttributeTok"/>
        </w:rPr>
        <w:t xml:space="preserve">  </w:t>
      </w:r>
      <w:r>
        <w:rPr>
          <w:rStyle w:val="KeywordTok"/>
        </w:rPr>
        <w:t xml:space="preserve">-</w:t>
      </w:r>
      <w:r>
        <w:rPr>
          <w:rStyle w:val="AttributeTok"/>
        </w:rPr>
        <w:t xml:space="preserve"> </w:t>
      </w:r>
      <w:r>
        <w:rPr>
          <w:rStyle w:val="StringTok"/>
        </w:rPr>
        <w:t xml:space="preserve">"ketahanan energi nasional"</w:t>
      </w:r>
      <w:r>
        <w:br/>
      </w:r>
      <w:r>
        <w:rPr>
          <w:rStyle w:val="AttributeTok"/>
        </w:rPr>
        <w:t xml:space="preserve">  </w:t>
      </w:r>
      <w:r>
        <w:rPr>
          <w:rStyle w:val="KeywordTok"/>
        </w:rPr>
        <w:t xml:space="preserve">-</w:t>
      </w:r>
      <w:r>
        <w:rPr>
          <w:rStyle w:val="AttributeTok"/>
        </w:rPr>
        <w:t xml:space="preserve"> </w:t>
      </w:r>
      <w:r>
        <w:rPr>
          <w:rStyle w:val="StringTok"/>
        </w:rPr>
        <w:t xml:space="preserve">"PGN Gagas / Gaslink"</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"LNG (gas alam cair)"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&amp;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"https://www.esdm.go.id/id/media-center/arsip-berita/masa-transisi-energi-menuju-net-zero-emission"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"NZE 2060; gas bumi sebagai energi transisi sebelum EBT 100%; proyeksi emisi 2039-2060 (kutipan Menteri ESDM)"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"https://www.iea.org/reports/global-methane-tracker-2025/key-findings"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"Gas ~35% lebih rendah emisi lifecycle dari batu bara; metana GWP20 82,5x CO2; sisi kritis bridge fuel"</w:t>
      </w:r>
      <w:r>
        <w:br/>
      </w:r>
      <w:r>
        <w:rPr>
          <w:rStyle w:val="FunctionTok"/>
        </w:rPr>
        <w:t xml:space="preserve">brief_id</w:t>
      </w:r>
      <w:r>
        <w:rPr>
          <w:rStyle w:val="KeywordTok"/>
        </w:rPr>
        <w:t xml:space="preserve">:</w:t>
      </w:r>
      <w:r>
        <w:rPr>
          <w:rStyle w:val="AttributeTok"/>
        </w:rPr>
        <w:t xml:space="preserve"> </w:t>
      </w:r>
      <w:r>
        <w:rPr>
          <w:rStyle w:val="StringTok"/>
        </w:rPr>
        <w:t xml:space="preserve">"cng-indonesia-05"</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"2026-06-09"</w:t>
      </w:r>
      <w:r>
        <w:br/>
      </w:r>
      <w:r>
        <w:rPr>
          <w:rStyle w:val="FunctionTok"/>
        </w:rPr>
        <w:t xml:space="preserve">word_count</w:t>
      </w:r>
      <w:r>
        <w:rPr>
          <w:rStyle w:val="KeywordTok"/>
        </w:rPr>
        <w:t xml:space="preserve">:</w:t>
      </w:r>
      <w:r>
        <w:rPr>
          <w:rStyle w:val="AttributeTok"/>
        </w:rPr>
        <w:t xml:space="preserve"> </w:t>
      </w:r>
      <w:r>
        <w:rPr>
          <w:rStyle w:val="DecValTok"/>
        </w:rPr>
        <w:t xml:space="preserve">1517</w:t>
      </w:r>
    </w:p>
    <w:p>
      <w:r>
        <w:pict>
          <v:rect style="width:0;height:1.5pt" o:hralign="center" o:hrstd="t" o:hr="t"/>
        </w:pict>
      </w:r>
    </w:p>
    <w:bookmarkEnd w:id="16"/>
    <w:bookmarkStart w:id="33" w:name="X7d69d4e1511e351b273739a017e059634cf9493"/>
    <w:p>
      <w:pPr>
        <w:pStyle w:val="Heading1"/>
      </w:pPr>
      <w:r>
        <w:t xml:space="preserve">CNG &amp; Transisi Energi Indonesia: Peran Gas Bumi Menuju Energi Bersih</w:t>
      </w:r>
    </w:p>
    <w:p>
      <w:pPr>
        <w:pStyle w:val="FirstParagraph"/>
      </w:pPr>
      <w:r>
        <w:t xml:space="preserve">Di ruang rapat kebijakan dan komite keberlanjutan korporasi, satu pertanyaan kerap membingungkan: kalau tujuan akhirnya energi bersih dan Net Zero Emission 2060, mengapa pemerintah justru mendorong gas bumi yang tetap bahan bakar fosil? Jawabannya ada pada konsep</w:t>
      </w:r>
      <w:r>
        <w:t xml:space="preserve"> </w:t>
      </w:r>
      <w:r>
        <w:t xml:space="preserve">“energi transisi”</w:t>
      </w:r>
      <w:r>
        <w:t xml:space="preserve">, dan CNG (</w:t>
      </w:r>
      <w:r>
        <w:rPr>
          <w:i/>
          <w:iCs/>
        </w:rPr>
        <w:t xml:space="preserve">Compressed Natural Gas</w:t>
      </w:r>
      <w:r>
        <w:t xml:space="preserve">) adalah salah satu wujud paling praktisnya. Artikel ini membahas peran</w:t>
      </w:r>
      <w:r>
        <w:t xml:space="preserve"> </w:t>
      </w:r>
      <w:hyperlink r:id="rId17">
        <w:r>
          <w:rPr>
            <w:rStyle w:val="Hyperlink"/>
          </w:rPr>
          <w:t xml:space="preserve">CNG di Indonesia</w:t>
        </w:r>
      </w:hyperlink>
      <w:r>
        <w:t xml:space="preserve"> </w:t>
      </w:r>
      <w:r>
        <w:t xml:space="preserve">dan gas bumi dalam transisi energi secara berimbang: mengapa gas disebut jembatan, ke mana arah bauran energi nasional, sekaligus jujur soal batasnya.</w:t>
      </w:r>
    </w:p>
    <w:p>
      <w:pPr>
        <w:pStyle w:val="BlockText"/>
      </w:pPr>
      <w:r>
        <w:rPr>
          <w:b/>
          <w:bCs/>
        </w:rPr>
        <w:t xml:space="preserve">Secara singkat:</w:t>
      </w:r>
      <w:r>
        <w:t xml:space="preserve"> </w:t>
      </w:r>
      <w:r>
        <w:t xml:space="preserve">Energi transisi adalah sumber energi yang berfungsi sebagai jembatan menuju energi terbarukan penuh. Gas bumi, termasuk dalam bentuk CNG (</w:t>
      </w:r>
      <w:r>
        <w:rPr>
          <w:i/>
          <w:iCs/>
        </w:rPr>
        <w:t xml:space="preserve">Compressed Natural Gas</w:t>
      </w:r>
      <w:r>
        <w:t xml:space="preserve">), berperan sebagai energi transisi karena emisinya lebih rendah dibanding batu bara atau solar, namun lebih stabil dan siap-pakai dibanding energi surya atau angin yang masih berkembang.</w:t>
      </w:r>
    </w:p>
    <w:p>
      <w:pPr>
        <w:pStyle w:val="FirstParagraph"/>
      </w:pPr>
      <w:r>
        <w:t xml:space="preserve">Melalui artikel ini, kita akan menelusuri empat peran gas dalam transisi, angka-angka bauran energi nasional, hingga sisi kritis yang membuat gas disebut jembatan, bukan tujuan.</w:t>
      </w:r>
    </w:p>
    <w:p>
      <w:pPr>
        <w:pStyle w:val="BodyText"/>
      </w:pPr>
      <w:r>
        <w:rPr>
          <w:i/>
          <w:iCs/>
        </w:rPr>
        <w:t xml:space="preserve">[Image 01: Diagram alur</w:t>
      </w:r>
      <w:r>
        <w:rPr>
          <w:i/>
          <w:iCs/>
        </w:rPr>
        <w:t xml:space="preserve"> </w:t>
      </w:r>
      <w:r>
        <w:rPr>
          <w:i/>
          <w:iCs/>
        </w:rPr>
        <w:t xml:space="preserve">“Empat Peran Gas Bumi dalam Transisi Energi”</w:t>
      </w:r>
      <w:r>
        <w:rPr>
          <w:i/>
          <w:iCs/>
        </w:rPr>
        <w:t xml:space="preserve"> </w:t>
      </w:r>
      <w:r>
        <w:rPr>
          <w:i/>
          <w:iCs/>
        </w:rPr>
        <w:t xml:space="preserve">— ilustrasi horizontal yang menampilkan empat peran berurutan (substitusi bahan bakar kotor, baseload backup EBT, bahan bakar transportasi, ketahanan energi domestik) dengan ikon per peran; latar bergradasi dari abu-abu</w:t>
      </w:r>
      <w:r>
        <w:rPr>
          <w:i/>
          <w:iCs/>
        </w:rPr>
        <w:t xml:space="preserve"> </w:t>
      </w:r>
      <w:r>
        <w:rPr>
          <w:i/>
          <w:iCs/>
        </w:rPr>
        <w:t xml:space="preserve">“kotor”</w:t>
      </w:r>
      <w:r>
        <w:rPr>
          <w:i/>
          <w:iCs/>
        </w:rPr>
        <w:t xml:space="preserve"> </w:t>
      </w:r>
      <w:r>
        <w:rPr>
          <w:i/>
          <w:iCs/>
        </w:rPr>
        <w:t xml:space="preserve">di kiri ke hijau</w:t>
      </w:r>
      <w:r>
        <w:rPr>
          <w:i/>
          <w:iCs/>
        </w:rPr>
        <w:t xml:space="preserve"> </w:t>
      </w:r>
      <w:r>
        <w:rPr>
          <w:i/>
          <w:iCs/>
        </w:rPr>
        <w:t xml:space="preserve">“bersih”</w:t>
      </w:r>
      <w:r>
        <w:rPr>
          <w:i/>
          <w:iCs/>
        </w:rPr>
        <w:t xml:space="preserve"> </w:t>
      </w:r>
      <w:r>
        <w:rPr>
          <w:i/>
          <w:iCs/>
        </w:rPr>
        <w:t xml:space="preserve">di kanan. Teks kunci Bahasa Indonesia:</w:t>
      </w:r>
      <w:r>
        <w:rPr>
          <w:i/>
          <w:iCs/>
        </w:rPr>
        <w:t xml:space="preserve"> </w:t>
      </w:r>
      <w:r>
        <w:rPr>
          <w:i/>
          <w:iCs/>
        </w:rPr>
        <w:t xml:space="preserve">“Target gas 24% bauran 2050”</w:t>
      </w:r>
      <w:r>
        <w:rPr>
          <w:i/>
          <w:iCs/>
        </w:rPr>
        <w:t xml:space="preserve">,</w:t>
      </w:r>
      <w:r>
        <w:rPr>
          <w:i/>
          <w:iCs/>
        </w:rPr>
        <w:t xml:space="preserve"> </w:t>
      </w:r>
      <w:r>
        <w:rPr>
          <w:i/>
          <w:iCs/>
        </w:rPr>
        <w:t xml:space="preserve">“12 BSCFD 2030”</w:t>
      </w:r>
      <w:r>
        <w:rPr>
          <w:i/>
          <w:iCs/>
        </w:rPr>
        <w:t xml:space="preserve">,</w:t>
      </w:r>
      <w:r>
        <w:rPr>
          <w:i/>
          <w:iCs/>
        </w:rPr>
        <w:t xml:space="preserve"> </w:t>
      </w:r>
      <w:r>
        <w:rPr>
          <w:i/>
          <w:iCs/>
        </w:rPr>
        <w:t xml:space="preserve">“NZE 2060”</w:t>
      </w:r>
      <w:r>
        <w:rPr>
          <w:i/>
          <w:iCs/>
        </w:rPr>
        <w:t xml:space="preserve">. Gaya flat infographic B2B, palet hijau-biru, cocok di-screenshot.]</w:t>
      </w:r>
    </w:p>
    <w:bookmarkStart w:id="18" w:name="X78b6aa0449ca2940bfd9ad99db9772f5cd2ccbc"/>
    <w:p>
      <w:pPr>
        <w:pStyle w:val="Heading2"/>
      </w:pPr>
      <w:r>
        <w:t xml:space="preserve">Apa Itu Energi Transisi, dan Mengapa Gas Bumi Termasuk di Dalamnya?</w:t>
      </w:r>
    </w:p>
    <w:p>
      <w:pPr>
        <w:pStyle w:val="FirstParagraph"/>
      </w:pPr>
      <w:r>
        <w:t xml:space="preserve">Energi transisi adalah sumber energi yang dipakai sebagai jembatan menuju energi terbarukan penuh. Gas bumi memenuhi peran ini karena emisinya lebih rendah dibanding batu bara atau solar, tetapi pasokannya lebih stabil dan siap-pakai dibanding energi baru terbarukan (EBT) yang masih berkembang. Intinya: jembatan, bukan tujuan akhir.</w:t>
      </w:r>
    </w:p>
    <w:p>
      <w:pPr>
        <w:pStyle w:val="BodyText"/>
      </w:pPr>
      <w:r>
        <w:t xml:space="preserve">Pemerintah pun memakai bahasa yang sama. Menteri ESDM menyatakan gas bumi</w:t>
      </w:r>
      <w:r>
        <w:t xml:space="preserve"> </w:t>
      </w:r>
      <w:r>
        <w:t xml:space="preserve">“dapat dimanfaatkan untuk energi transisi sebelum energi baru terbarukan 100% di pembangkit listrik”</w:t>
      </w:r>
      <w:r>
        <w:t xml:space="preserve"> </w:t>
      </w:r>
      <w:r>
        <w:t xml:space="preserve">(Kementerian ESDM, 2025). Frasa ini menandai posisi gas secara tepat: pelengkap selama masa peralihan, bukan substitusi permanen.</w:t>
      </w:r>
    </w:p>
    <w:p>
      <w:pPr>
        <w:pStyle w:val="BodyText"/>
      </w:pPr>
      <w:r>
        <w:t xml:space="preserve">Yang sering disalahpahami:</w:t>
      </w:r>
      <w:r>
        <w:t xml:space="preserve"> </w:t>
      </w:r>
      <w:r>
        <w:t xml:space="preserve">“lebih rendah emisi”</w:t>
      </w:r>
      <w:r>
        <w:t xml:space="preserve"> </w:t>
      </w:r>
      <w:r>
        <w:t xml:space="preserve">tidak sama dengan</w:t>
      </w:r>
      <w:r>
        <w:t xml:space="preserve"> </w:t>
      </w:r>
      <w:r>
        <w:t xml:space="preserve">“bersih”</w:t>
      </w:r>
      <w:r>
        <w:t xml:space="preserve">. Gas tetap menghasilkan CO2 saat dibakar. Menurut IEA (</w:t>
      </w:r>
      <w:r>
        <w:rPr>
          <w:i/>
          <w:iCs/>
        </w:rPr>
        <w:t xml:space="preserve">International Energy Agency</w:t>
      </w:r>
      <w:r>
        <w:t xml:space="preserve">) dalam Global Methane Tracker 2025, emisi</w:t>
      </w:r>
      <w:r>
        <w:t xml:space="preserve"> </w:t>
      </w:r>
      <w:r>
        <w:rPr>
          <w:i/>
          <w:iCs/>
        </w:rPr>
        <w:t xml:space="preserve">lifecycle</w:t>
      </w:r>
      <w:r>
        <w:t xml:space="preserve">-nya sekitar 35% lebih rendah dari batu bara, sebuah keunggulan nyata, tetapi bukan nol. Itulah dasar gas disebut</w:t>
      </w:r>
      <w:r>
        <w:t xml:space="preserve"> </w:t>
      </w:r>
      <w:r>
        <w:t xml:space="preserve">“energi yang lebih bersih”</w:t>
      </w:r>
      <w:r>
        <w:t xml:space="preserve">, bukan</w:t>
      </w:r>
      <w:r>
        <w:t xml:space="preserve"> </w:t>
      </w:r>
      <w:r>
        <w:t xml:space="preserve">“bersih”</w:t>
      </w:r>
      <w:r>
        <w:t xml:space="preserve">.</w:t>
      </w:r>
    </w:p>
    <w:bookmarkEnd w:id="18"/>
    <w:bookmarkStart w:id="19" w:name="X9dbb8c1669d6cf144cd7fada4a5e223bba3a341"/>
    <w:p>
      <w:pPr>
        <w:pStyle w:val="Heading2"/>
      </w:pPr>
      <w:r>
        <w:t xml:space="preserve">Peran Gas Bumi dalam Transisi: Empat Fungsi Utama</w:t>
      </w:r>
    </w:p>
    <w:p>
      <w:pPr>
        <w:pStyle w:val="FirstParagraph"/>
      </w:pPr>
      <w:r>
        <w:t xml:space="preserve">Gas bumi mengisi empat peran berbeda dalam transisi energi Indonesia, dan keempatnya ditegaskan secara eksplisit dalam dokumen serta pernyataan Kementerian ESDM:</w:t>
      </w:r>
    </w:p>
    <w:p>
      <w:pPr>
        <w:pStyle w:val="Compact"/>
        <w:numPr>
          <w:ilvl w:val="0"/>
          <w:numId w:val="1001"/>
        </w:numPr>
      </w:pPr>
      <w:r>
        <w:rPr>
          <w:b/>
          <w:bCs/>
        </w:rPr>
        <w:t xml:space="preserve">Menggantikan bahan bakar yang lebih kotor.</w:t>
      </w:r>
      <w:r>
        <w:t xml:space="preserve"> </w:t>
      </w:r>
      <w:r>
        <w:t xml:space="preserve">Gas mendorong industri dan pembangkit beralih dari batu bara atau solar; emisi turun, meski CO2 tetap dihasilkan.</w:t>
      </w:r>
    </w:p>
    <w:p>
      <w:pPr>
        <w:pStyle w:val="Compact"/>
        <w:numPr>
          <w:ilvl w:val="0"/>
          <w:numId w:val="1001"/>
        </w:numPr>
      </w:pPr>
      <w:r>
        <w:rPr>
          <w:b/>
          <w:bCs/>
        </w:rPr>
        <w:t xml:space="preserve">Pendamping EBT yang intermiten.</w:t>
      </w:r>
      <w:r>
        <w:t xml:space="preserve"> </w:t>
      </w:r>
      <w:r>
        <w:t xml:space="preserve">Surya dan angin tidak berproduksi sepanjang waktu; pembangkit gas memasok daya saat panel surya gelap atau angin reda, menjaga sistem listrik tetap andal selama EBT belum bisa berdiri sendiri.</w:t>
      </w:r>
    </w:p>
    <w:p>
      <w:pPr>
        <w:pStyle w:val="Compact"/>
        <w:numPr>
          <w:ilvl w:val="0"/>
          <w:numId w:val="1001"/>
        </w:numPr>
      </w:pPr>
      <w:r>
        <w:rPr>
          <w:b/>
          <w:bCs/>
        </w:rPr>
        <w:t xml:space="preserve">Bahan bakar transisi di transportasi.</w:t>
      </w:r>
      <w:r>
        <w:t xml:space="preserve"> </w:t>
      </w:r>
      <w:r>
        <w:t xml:space="preserve">Gas dalam bentuk CNG/BBG mengisi peran jembatan untuk armada kendaraan, sebelum kendaraan listrik merata.</w:t>
      </w:r>
    </w:p>
    <w:p>
      <w:pPr>
        <w:pStyle w:val="Compact"/>
        <w:numPr>
          <w:ilvl w:val="0"/>
          <w:numId w:val="1001"/>
        </w:numPr>
      </w:pPr>
      <w:r>
        <w:rPr>
          <w:b/>
          <w:bCs/>
        </w:rPr>
        <w:t xml:space="preserve">Menjaga ketahanan energi domestik.</w:t>
      </w:r>
      <w:r>
        <w:t xml:space="preserve"> </w:t>
      </w:r>
      <w:r>
        <w:t xml:space="preserve">Lebih dari 60% produksi gas bumi nasional kini dialokasikan untuk dalam negeri, bergeser dari orientasi historis yang berfokus ekspor (Ditjen Migas, Kementerian ESDM).</w:t>
      </w:r>
    </w:p>
    <w:p>
      <w:pPr>
        <w:pStyle w:val="FirstParagraph"/>
      </w:pPr>
      <w:r>
        <w:t xml:space="preserve">Peran kedua paling sering luput, padahal di sinilah nilainya: selama penyimpanan EBT belum matang dan terjangkau, sistem listrik tetap butuh sumber yang bisa dinyalakan sesuai permintaan, dan gas mengisi celah itu.</w:t>
      </w:r>
    </w:p>
    <w:p>
      <w:pPr>
        <w:pStyle w:val="BodyText"/>
      </w:pPr>
      <w:r>
        <w:rPr>
          <w:i/>
          <w:iCs/>
        </w:rPr>
        <w:t xml:space="preserve">[Image 02: Grafik batang perbandingan emisi CO2 pembangkitan listrik — tiga batang berlabel</w:t>
      </w:r>
      <w:r>
        <w:rPr>
          <w:i/>
          <w:iCs/>
        </w:rPr>
        <w:t xml:space="preserve"> </w:t>
      </w:r>
      <w:r>
        <w:rPr>
          <w:i/>
          <w:iCs/>
        </w:rPr>
        <w:t xml:space="preserve">“Gas Bumi (~490 g CO2/kWh)”</w:t>
      </w:r>
      <w:r>
        <w:rPr>
          <w:i/>
          <w:iCs/>
        </w:rPr>
        <w:t xml:space="preserve">,</w:t>
      </w:r>
      <w:r>
        <w:rPr>
          <w:i/>
          <w:iCs/>
        </w:rPr>
        <w:t xml:space="preserve"> </w:t>
      </w:r>
      <w:r>
        <w:rPr>
          <w:i/>
          <w:iCs/>
        </w:rPr>
        <w:t xml:space="preserve">“Solar/Diesel”</w:t>
      </w:r>
      <w:r>
        <w:rPr>
          <w:i/>
          <w:iCs/>
        </w:rPr>
        <w:t xml:space="preserve">, dan</w:t>
      </w:r>
      <w:r>
        <w:rPr>
          <w:i/>
          <w:iCs/>
        </w:rPr>
        <w:t xml:space="preserve"> </w:t>
      </w:r>
      <w:r>
        <w:rPr>
          <w:i/>
          <w:iCs/>
        </w:rPr>
        <w:t xml:space="preserve">“Batu Bara (~820 g CO2/kWh)”</w:t>
      </w:r>
      <w:r>
        <w:rPr>
          <w:i/>
          <w:iCs/>
        </w:rPr>
        <w:t xml:space="preserve">, dengan batang gas paling pendek/hijau dan batu bara paling tinggi/abu gelap. Tambahkan catatan jujur di bawah:</w:t>
      </w:r>
      <w:r>
        <w:rPr>
          <w:i/>
          <w:iCs/>
        </w:rPr>
        <w:t xml:space="preserve"> </w:t>
      </w:r>
      <w:r>
        <w:rPr>
          <w:i/>
          <w:iCs/>
        </w:rPr>
        <w:t xml:space="preserve">“Lebih rendah bukan berarti nol emisi (sumber: data IEA/ESDM)”</w:t>
      </w:r>
      <w:r>
        <w:rPr>
          <w:i/>
          <w:iCs/>
        </w:rPr>
        <w:t xml:space="preserve">. Gaya flat, palet hijau-biru, teks Bahasa Indonesia, format kartu standalone.]</w:t>
      </w:r>
    </w:p>
    <w:bookmarkEnd w:id="19"/>
    <w:bookmarkStart w:id="20" w:name="X7646fdd5ce44b1ccf88c3cb8dd44d14eb04ccdc"/>
    <w:p>
      <w:pPr>
        <w:pStyle w:val="Heading2"/>
      </w:pPr>
      <w:r>
        <w:t xml:space="preserve">Ke Mana Arah Bauran Energi Gas Indonesia Menuju 2060?</w:t>
      </w:r>
    </w:p>
    <w:p>
      <w:pPr>
        <w:pStyle w:val="FirstParagraph"/>
      </w:pPr>
      <w:r>
        <w:t xml:space="preserve">Arahnya jelas tertulis dalam kebijakan: gas bumi ditargetkan mengisi sekitar 24% bauran energi nasional pada 2050, dengan produksi menyentuh 12 BSCFD (</w:t>
      </w:r>
      <w:r>
        <w:rPr>
          <w:i/>
          <w:iCs/>
        </w:rPr>
        <w:t xml:space="preserve">billion standard cubic feet per day</w:t>
      </w:r>
      <w:r>
        <w:t xml:space="preserve">) pada 2030, dan tetap berperan hingga horizon Net Zero Emission (NZE) 2060. Ini komitmen kebijakan resmi, bukan ramalan pasar bebas.</w:t>
      </w:r>
    </w:p>
    <w:p>
      <w:pPr>
        <w:pStyle w:val="BodyText"/>
      </w:pPr>
      <w:r>
        <w:t xml:space="preserve">Dalam Rencana Umum Energi Nasional (RUEN), porsi 24% gas itu berdampingan dengan minyak bumi 20% dan EBT 31% (Ditjen Migas, Kementerian ESDM), sementara target 12 BSCFD ditetapkan lewat Permen ESDM 35/2021. Satu nuansa agar tidak salah baca: 24% adalah porsi komposisi yang totalnya terus tumbuh, bukan janji konsumsi gas berlipat.</w:t>
      </w:r>
    </w:p>
    <w:p>
      <w:pPr>
        <w:pStyle w:val="BodyText"/>
      </w:pPr>
      <w:r>
        <w:t xml:space="preserve">Mengapa gas tetap dibutuhkan di tengah jalan? Karena EBT belum mengejar target: bauran EBT nasional baru mencapai 15,75% pada 2025, di bawah target 23% (Kementerian ESDM, 2025). Selisih inilah yang membuat gas berperan sebagai pendamping jangka menengah; proyeksi ESDM bahkan menempatkan puncak emisi ketenagalistrikan pada 2039 sebelum menurun.</w:t>
      </w:r>
    </w:p>
    <w:bookmarkEnd w:id="20"/>
    <w:bookmarkStart w:id="23" w:name="X324bd50ff8ee38476dd252d99f6a5b91e602ede"/>
    <w:p>
      <w:pPr>
        <w:pStyle w:val="Heading2"/>
      </w:pPr>
      <w:r>
        <w:t xml:space="preserve">Dari Kebijakan ke Lapangan: CNG sebagai Wujud Praktis Transisi</w:t>
      </w:r>
    </w:p>
    <w:p>
      <w:pPr>
        <w:pStyle w:val="FirstParagraph"/>
      </w:pPr>
      <w:r>
        <w:t xml:space="preserve">Narasi makro itu menjadi konkret saat sampai ke pengguna energi: CNG memungkinkan industri dan fasilitas komersial di luar jaringan pipa untuk beralih dari solar (HSD) atau LPG ke gas bumi yang lebih rendah emisi. Begitulah kebijakan transisi diterjemahkan menjadi aksi nyata di boiler, tungku, dan genset, seperti dipetakan tabel berikut.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Peran transisi</w:t>
            </w:r>
          </w:p>
        </w:tc>
        <w:tc>
          <w:tcPr/>
          <w:p>
            <w:pPr>
              <w:pStyle w:val="Compact"/>
            </w:pPr>
            <w:r>
              <w:t xml:space="preserve">Konteks kebijakan (ESDM)</w:t>
            </w:r>
          </w:p>
        </w:tc>
        <w:tc>
          <w:tcPr/>
          <w:p>
            <w:pPr>
              <w:pStyle w:val="Compact"/>
            </w:pPr>
            <w:r>
              <w:t xml:space="preserve">Wujud praktis CNG</w:t>
            </w:r>
          </w:p>
        </w:tc>
      </w:tr>
      <w:tr>
        <w:tc>
          <w:tcPr/>
          <w:p>
            <w:pPr>
              <w:pStyle w:val="Compact"/>
            </w:pPr>
            <w:r>
              <w:t xml:space="preserve">Substitusi bahan bakar lebih kotor</w:t>
            </w:r>
          </w:p>
        </w:tc>
        <w:tc>
          <w:tcPr/>
          <w:p>
            <w:pPr>
              <w:pStyle w:val="Compact"/>
            </w:pPr>
            <w:r>
              <w:t xml:space="preserve">Gas ~35% lebih rendah emisi dari batu bara (IEA, 2025)</w:t>
            </w:r>
          </w:p>
        </w:tc>
        <w:tc>
          <w:tcPr/>
          <w:p>
            <w:pPr>
              <w:pStyle w:val="Compact"/>
            </w:pPr>
            <w:r>
              <w:t xml:space="preserve">Industri di luar pipa beralih dari solar/LPG ke CNG</w:t>
            </w:r>
          </w:p>
        </w:tc>
      </w:tr>
      <w:tr>
        <w:tc>
          <w:tcPr/>
          <w:p>
            <w:pPr>
              <w:pStyle w:val="Compact"/>
            </w:pPr>
            <w:r>
              <w:rPr>
                <w:i/>
                <w:iCs/>
              </w:rPr>
              <w:t xml:space="preserve">Baseload backup</w:t>
            </w:r>
            <w:r>
              <w:t xml:space="preserve"> </w:t>
            </w:r>
            <w:r>
              <w:t xml:space="preserve">EBT</w:t>
            </w:r>
          </w:p>
        </w:tc>
        <w:tc>
          <w:tcPr/>
          <w:p>
            <w:pPr>
              <w:pStyle w:val="Compact"/>
            </w:pPr>
            <w:r>
              <w:t xml:space="preserve">“Jembatan sebelum EBT 100% di pembangkit”</w:t>
            </w:r>
          </w:p>
        </w:tc>
        <w:tc>
          <w:tcPr/>
          <w:p>
            <w:pPr>
              <w:pStyle w:val="Compact"/>
            </w:pPr>
            <w:r>
              <w:t xml:space="preserve">Pembangkit gas memasok daya saat PLTS/PLTB tidak berproduksi</w:t>
            </w:r>
          </w:p>
        </w:tc>
      </w:tr>
      <w:tr>
        <w:tc>
          <w:tcPr/>
          <w:p>
            <w:pPr>
              <w:pStyle w:val="Compact"/>
            </w:pPr>
            <w:r>
              <w:t xml:space="preserve">Bahan bakar transisi transportasi</w:t>
            </w:r>
          </w:p>
        </w:tc>
        <w:tc>
          <w:tcPr/>
          <w:p>
            <w:pPr>
              <w:pStyle w:val="Compact"/>
            </w:pPr>
            <w:r>
              <w:t xml:space="preserve">Gas sebagai energi transisi sebelum EV merata</w:t>
            </w:r>
          </w:p>
        </w:tc>
        <w:tc>
          <w:tcPr/>
          <w:p>
            <w:pPr>
              <w:pStyle w:val="Compact"/>
            </w:pPr>
            <w:r>
              <w:t xml:space="preserve">CNG/BBG untuk armada kendaraan via SPBG</w:t>
            </w:r>
          </w:p>
        </w:tc>
      </w:tr>
      <w:tr>
        <w:tc>
          <w:tcPr/>
          <w:p>
            <w:pPr>
              <w:pStyle w:val="Compact"/>
            </w:pPr>
            <w:r>
              <w:t xml:space="preserve">Ketahanan energi domestik</w:t>
            </w:r>
          </w:p>
        </w:tc>
        <w:tc>
          <w:tcPr/>
          <w:p>
            <w:pPr>
              <w:pStyle w:val="Compact"/>
            </w:pPr>
            <w:r>
              <w:t xml:space="preserve">&gt;60% produksi gas dialokasikan domestik</w:t>
            </w:r>
          </w:p>
        </w:tc>
        <w:tc>
          <w:tcPr/>
          <w:p>
            <w:pPr>
              <w:pStyle w:val="Compact"/>
            </w:pPr>
            <w:r>
              <w:t xml:space="preserve">Pasokan gas ke kawasan industri tanpa jaringan pipa</w:t>
            </w:r>
          </w:p>
        </w:tc>
      </w:tr>
    </w:tbl>
    <w:p>
      <w:pPr>
        <w:pStyle w:val="BodyText"/>
      </w:pPr>
      <w:r>
        <w:t xml:space="preserve">Momentumnya juga menguat. Menurut laporan media pada Mei 2026 yang mengutip Kementerian ESDM, pemerintah menyiapkan uji coba CNG sebagai alternatif LPG 3 kg untuk rumah tangga guna menekan beban impor, mengingat lebih dari 75% konsumsi LPG nasional kini dari impor. Perlu digarisbawahi: program ini inisiatif pemerintah dan secara teknis berbeda dari CNG industri.</w:t>
      </w:r>
    </w:p>
    <w:p>
      <w:pPr>
        <w:pStyle w:val="BodyText"/>
      </w:pPr>
      <w:r>
        <w:t xml:space="preserve">Di sisi pasokan industri, gas bumi cair atau</w:t>
      </w:r>
      <w:r>
        <w:t xml:space="preserve"> </w:t>
      </w:r>
      <w:hyperlink r:id="rId21">
        <w:r>
          <w:rPr>
            <w:rStyle w:val="Hyperlink"/>
          </w:rPr>
          <w:t xml:space="preserve">LNG (gas alam cair)</w:t>
        </w:r>
      </w:hyperlink>
      <w:r>
        <w:t xml:space="preserve"> </w:t>
      </w:r>
      <w:r>
        <w:t xml:space="preserve">menjadi wujud lain yang melengkapi CNG. Bagi pelanggan yang ingin beralih, layanan seperti</w:t>
      </w:r>
      <w:r>
        <w:t xml:space="preserve"> </w:t>
      </w:r>
      <w:hyperlink r:id="rId22">
        <w:r>
          <w:rPr>
            <w:rStyle w:val="Hyperlink"/>
          </w:rPr>
          <w:t xml:space="preserve">Gaslink untuk industri &amp; komersial</w:t>
        </w:r>
      </w:hyperlink>
      <w:r>
        <w:t xml:space="preserve"> </w:t>
      </w:r>
      <w:r>
        <w:t xml:space="preserve">dari PGN Gagas adalah contoh realisasi transisi ini di lokasi tanpa pipa.</w:t>
      </w:r>
    </w:p>
    <w:bookmarkEnd w:id="23"/>
    <w:bookmarkStart w:id="24" w:name="Xc32c86d007c303b2c70316efe9708ac678909f2"/>
    <w:p>
      <w:pPr>
        <w:pStyle w:val="Heading2"/>
      </w:pPr>
      <w:r>
        <w:t xml:space="preserve">Sisi Lain: Mengapa Gas Bukan Solusi Akhir (dan Apa Risikonya)</w:t>
      </w:r>
    </w:p>
    <w:p>
      <w:pPr>
        <w:pStyle w:val="FirstParagraph"/>
      </w:pPr>
      <w:r>
        <w:t xml:space="preserve">Gas bukan tujuan akhir, dan mengakui keterbatasannya justru memperkuat kredibilitas. Ada tiga alasan peran gas berstatus jembatan berbatas waktu, risiko yang diakui para analis energi, bukan posisi resmi pemerintah:</w:t>
      </w:r>
    </w:p>
    <w:p>
      <w:pPr>
        <w:pStyle w:val="Compact"/>
        <w:numPr>
          <w:ilvl w:val="0"/>
          <w:numId w:val="1002"/>
        </w:numPr>
      </w:pPr>
      <w:r>
        <w:rPr>
          <w:b/>
          <w:bCs/>
        </w:rPr>
        <w:t xml:space="preserve">Emisi CO2 tetap ada.</w:t>
      </w:r>
      <w:r>
        <w:t xml:space="preserve"> </w:t>
      </w:r>
      <w:r>
        <w:t xml:space="preserve">Gas adalah bahan bakar fosil yang tetap mengeluarkan karbon saat dibakar, hanya lebih sedikit dari batu bara.</w:t>
      </w:r>
    </w:p>
    <w:p>
      <w:pPr>
        <w:pStyle w:val="Compact"/>
        <w:numPr>
          <w:ilvl w:val="0"/>
          <w:numId w:val="1002"/>
        </w:numPr>
      </w:pPr>
      <w:r>
        <w:rPr>
          <w:b/>
          <w:bCs/>
        </w:rPr>
        <w:t xml:space="preserve">Kebocoran metana.</w:t>
      </w:r>
      <w:r>
        <w:t xml:space="preserve"> </w:t>
      </w:r>
      <w:r>
        <w:t xml:space="preserve">Komponen utama gas ini jauh lebih kuat memerangkap panas daripada CO2 dalam jangka pendek.</w:t>
      </w:r>
    </w:p>
    <w:p>
      <w:pPr>
        <w:pStyle w:val="Compact"/>
        <w:numPr>
          <w:ilvl w:val="0"/>
          <w:numId w:val="1002"/>
        </w:numPr>
      </w:pPr>
      <w:r>
        <w:rPr>
          <w:b/>
          <w:bCs/>
        </w:rPr>
        <w:t xml:space="preserve">Risiko</w:t>
      </w:r>
      <w:r>
        <w:rPr>
          <w:b/>
          <w:bCs/>
        </w:rPr>
        <w:t xml:space="preserve"> </w:t>
      </w:r>
      <w:r>
        <w:rPr>
          <w:b/>
          <w:bCs/>
          <w:i/>
          <w:iCs/>
        </w:rPr>
        <w:t xml:space="preserve">carbon lock-in</w:t>
      </w:r>
      <w:r>
        <w:rPr>
          <w:b/>
          <w:bCs/>
        </w:rPr>
        <w:t xml:space="preserve">.</w:t>
      </w:r>
      <w:r>
        <w:t xml:space="preserve"> </w:t>
      </w:r>
      <w:r>
        <w:t xml:space="preserve">Infrastruktur fosil berumur panjang bisa</w:t>
      </w:r>
      <w:r>
        <w:t xml:space="preserve"> </w:t>
      </w:r>
      <w:r>
        <w:t xml:space="preserve">“mengunci”</w:t>
      </w:r>
      <w:r>
        <w:t xml:space="preserve"> </w:t>
      </w:r>
      <w:r>
        <w:t xml:space="preserve">ketergantungan dan memperlambat peralihan ke EBT.</w:t>
      </w:r>
    </w:p>
    <w:p>
      <w:pPr>
        <w:pStyle w:val="FirstParagraph"/>
      </w:pPr>
      <w:r>
        <w:rPr>
          <w:i/>
          <w:iCs/>
        </w:rPr>
        <w:t xml:space="preserve">[Image 03: Timeline horizontal</w:t>
      </w:r>
      <w:r>
        <w:rPr>
          <w:i/>
          <w:iCs/>
        </w:rPr>
        <w:t xml:space="preserve"> </w:t>
      </w:r>
      <w:r>
        <w:rPr>
          <w:i/>
          <w:iCs/>
        </w:rPr>
        <w:t xml:space="preserve">“Peta Jalan Transisi Energi Indonesia menuju NZE 2060”</w:t>
      </w:r>
      <w:r>
        <w:rPr>
          <w:i/>
          <w:iCs/>
        </w:rPr>
        <w:t xml:space="preserve"> </w:t>
      </w:r>
      <w:r>
        <w:rPr>
          <w:i/>
          <w:iCs/>
        </w:rPr>
        <w:t xml:space="preserve">— garis waktu dari</w:t>
      </w:r>
      <w:r>
        <w:rPr>
          <w:i/>
          <w:iCs/>
        </w:rPr>
        <w:t xml:space="preserve"> </w:t>
      </w:r>
      <w:r>
        <w:rPr>
          <w:i/>
          <w:iCs/>
        </w:rPr>
        <w:t xml:space="preserve">“Sekarang”</w:t>
      </w:r>
      <w:r>
        <w:rPr>
          <w:i/>
          <w:iCs/>
        </w:rPr>
        <w:t xml:space="preserve"> </w:t>
      </w:r>
      <w:r>
        <w:rPr>
          <w:i/>
          <w:iCs/>
        </w:rPr>
        <w:t xml:space="preserve">ke 2030 (12 BSCFD), 2039 (puncak emisi 706 juta ton CO2e), 2050 (gas 24% bauran), 2060 (NZE, sisa emisi 401 juta ton CO2e). Ikon gas bumi mengecil dan ikon EBT membesar menuju 2060. Semua angka bersumber ESDM. Gaya flat, palet hijau-biru, teks Bahasa Indonesia.]</w:t>
      </w:r>
    </w:p>
    <w:p>
      <w:pPr>
        <w:pStyle w:val="BodyText"/>
      </w:pPr>
      <w:r>
        <w:t xml:space="preserve">Soal metana paling sering luput. Metana memiliki potensi pemanasan global sekitar 82,5 kali lebih besar dari CO2 dalam kerangka 20 tahun (IEA, 2025), sehingga IEA menegaskan gas lebih rendah emisi dari batu bara</w:t>
      </w:r>
      <w:r>
        <w:t xml:space="preserve"> </w:t>
      </w:r>
      <w:r>
        <w:t xml:space="preserve">“kecuali ketika emisi metananya sangat tinggi”</w:t>
      </w:r>
      <w:r>
        <w:t xml:space="preserve">. Jika kebocoran di rantai pasok tak dikendalikan, keunggulan emisi gas bisa terkikis. Kabar baiknya, sekitar 70% kebocoran itu bisa dicegah dengan teknologi yang ada.</w:t>
      </w:r>
    </w:p>
    <w:p>
      <w:pPr>
        <w:pStyle w:val="BodyText"/>
      </w:pPr>
      <w:r>
        <w:t xml:space="preserve">Karena itu, transisi yang realistis memperlakukan gas sebagai jembatan: dipakai untuk menyeberang, bukan untuk ditinggali. Proyeksi ESDM pun masih mencatat sisa emisi sekitar 401 juta ton CO2e pada 2060, pengingat bahwa transisi adalah proses panjang.</w:t>
      </w:r>
    </w:p>
    <w:bookmarkEnd w:id="24"/>
    <w:bookmarkStart w:id="31" w:name="faq-pertanyaan-yang-sering-diajukan"/>
    <w:p>
      <w:pPr>
        <w:pStyle w:val="Heading2"/>
      </w:pPr>
      <w:r>
        <w:t xml:space="preserve">FAQ (Pertanyaan yang Sering Diajukan)</w:t>
      </w:r>
    </w:p>
    <w:bookmarkStart w:id="25" w:name="apa-itu-energi-transisi-secara-singkat"/>
    <w:p>
      <w:pPr>
        <w:pStyle w:val="Heading3"/>
      </w:pPr>
      <w:r>
        <w:t xml:space="preserve">Apa itu energi transisi secara singkat?</w:t>
      </w:r>
    </w:p>
    <w:p>
      <w:pPr>
        <w:pStyle w:val="FirstParagraph"/>
      </w:pPr>
      <w:r>
        <w:t xml:space="preserve">Energi transisi adalah sumber energi yang dipakai sebagai jembatan menuju energi terbarukan penuh: lebih ramah lingkungan dari batu bara atau solar, namun belum bebas emisi. Gas bumi termasuk di dalamnya karena emisinya sekitar 35% lebih rendah dari batu bara (IEA, 2025) dan pasokannya lebih stabil dibanding surya atau angin.</w:t>
      </w:r>
    </w:p>
    <w:bookmarkEnd w:id="25"/>
    <w:bookmarkStart w:id="26" w:name="Xdfeb6d330cf49037d70d579c99d1bbaffb1d987"/>
    <w:p>
      <w:pPr>
        <w:pStyle w:val="Heading3"/>
      </w:pPr>
      <w:r>
        <w:t xml:space="preserve">Mengapa gas bumi disebut energi jembatan (</w:t>
      </w:r>
      <w:r>
        <w:rPr>
          <w:i/>
          <w:iCs/>
        </w:rPr>
        <w:t xml:space="preserve">bridge fuel</w:t>
      </w:r>
      <w:r>
        <w:t xml:space="preserve">)?</w:t>
      </w:r>
    </w:p>
    <w:p>
      <w:pPr>
        <w:pStyle w:val="FirstParagraph"/>
      </w:pPr>
      <w:r>
        <w:t xml:space="preserve">Karena ia menghubungkan era bahan bakar fosil kotor dengan era energi terbarukan penuh. Menteri ESDM menyatakan gas dapat dimanfaatkan sebagai energi transisi sebelum EBT 100% tercapai di pembangkit listrik. Gas juga menjadi</w:t>
      </w:r>
      <w:r>
        <w:t xml:space="preserve"> </w:t>
      </w:r>
      <w:r>
        <w:rPr>
          <w:i/>
          <w:iCs/>
        </w:rPr>
        <w:t xml:space="preserve">baseload backup</w:t>
      </w:r>
      <w:r>
        <w:t xml:space="preserve">, yakni memasok daya saat surya atau angin tidak berproduksi, agar transisi berjalan tanpa gangguan pasokan.</w:t>
      </w:r>
    </w:p>
    <w:bookmarkEnd w:id="26"/>
    <w:bookmarkStart w:id="27" w:name="Xc2c9260ec0d70f8271ea0840293ac4e1776a120"/>
    <w:p>
      <w:pPr>
        <w:pStyle w:val="Heading3"/>
      </w:pPr>
      <w:r>
        <w:t xml:space="preserve">Apakah gas bumi atau CNG termasuk energi bersih?</w:t>
      </w:r>
    </w:p>
    <w:p>
      <w:pPr>
        <w:pStyle w:val="FirstParagraph"/>
      </w:pPr>
      <w:r>
        <w:t xml:space="preserve">Tidak sepenuhnya, karena gas masih menghasilkan CO2 saat dibakar; istilah yang tepat adalah</w:t>
      </w:r>
      <w:r>
        <w:t xml:space="preserve"> </w:t>
      </w:r>
      <w:r>
        <w:t xml:space="preserve">“lebih bersih”</w:t>
      </w:r>
      <w:r>
        <w:t xml:space="preserve">, bukan</w:t>
      </w:r>
      <w:r>
        <w:t xml:space="preserve"> </w:t>
      </w:r>
      <w:r>
        <w:t xml:space="preserve">“bersih”</w:t>
      </w:r>
      <w:r>
        <w:t xml:space="preserve">. Namun emisi</w:t>
      </w:r>
      <w:r>
        <w:t xml:space="preserve"> </w:t>
      </w:r>
      <w:r>
        <w:rPr>
          <w:i/>
          <w:iCs/>
        </w:rPr>
        <w:t xml:space="preserve">lifecycle</w:t>
      </w:r>
      <w:r>
        <w:t xml:space="preserve">-nya sekitar 35% lebih rendah dari batu bara (IEA, 2025) dan lebih rendah dari solar. Karena itu pemerintah memposisikannya sebagai energi transisi, bukan tujuan akhir.</w:t>
      </w:r>
    </w:p>
    <w:bookmarkEnd w:id="27"/>
    <w:bookmarkStart w:id="28" w:name="X89c6848502784b43bb8e2372c2bd60a24bf2cea"/>
    <w:p>
      <w:pPr>
        <w:pStyle w:val="Heading3"/>
      </w:pPr>
      <w:r>
        <w:t xml:space="preserve">Apa target bauran energi gas bumi Indonesia pada 2030 dan 2050?</w:t>
      </w:r>
    </w:p>
    <w:p>
      <w:pPr>
        <w:pStyle w:val="FirstParagraph"/>
      </w:pPr>
      <w:r>
        <w:t xml:space="preserve">Dalam Rencana Umum Energi Nasional (RUEN), gas bumi ditargetkan mengisi sekitar 24% bauran energi nasional pada 2050, berdampingan dengan minyak bumi 20% dan EBT 31%. Untuk produksi, pemerintah menargetkan 12 BSCFD pada 2030 lewat Permen ESDM 35/2021. Keduanya adalah komitmen kebijakan resmi Kementerian ESDM, bukan estimasi pasar bebas.</w:t>
      </w:r>
    </w:p>
    <w:bookmarkEnd w:id="28"/>
    <w:bookmarkStart w:id="29" w:name="X74e695848b974298ea868fd6968c73ced21192a"/>
    <w:p>
      <w:pPr>
        <w:pStyle w:val="Heading3"/>
      </w:pPr>
      <w:r>
        <w:t xml:space="preserve">Apa kelemahan atau risiko gas bumi sebagai energi transisi?</w:t>
      </w:r>
    </w:p>
    <w:p>
      <w:pPr>
        <w:pStyle w:val="FirstParagraph"/>
      </w:pPr>
      <w:r>
        <w:t xml:space="preserve">Ada tiga: emisi CO2 yang tetap ada, kebocoran metana, dan risiko</w:t>
      </w:r>
      <w:r>
        <w:t xml:space="preserve"> </w:t>
      </w:r>
      <w:r>
        <w:rPr>
          <w:i/>
          <w:iCs/>
        </w:rPr>
        <w:t xml:space="preserve">carbon lock-in</w:t>
      </w:r>
      <w:r>
        <w:t xml:space="preserve"> </w:t>
      </w:r>
      <w:r>
        <w:t xml:space="preserve">infrastruktur. Yang paling sering luput adalah metana, komponen utama gas yang berpotensi pemanasan sekitar 82,5 kali lebih besar dari CO2 dalam kerangka 20 tahun (IEA, 2025), sehingga kebocoran tak terkendali bisa menghapus keunggulan emisi gas terhadap batu bara.</w:t>
      </w:r>
    </w:p>
    <w:bookmarkEnd w:id="29"/>
    <w:bookmarkStart w:id="30" w:name="X253042bb15a3870148310ed3560567abb52de1e"/>
    <w:p>
      <w:pPr>
        <w:pStyle w:val="Heading3"/>
      </w:pPr>
      <w:r>
        <w:t xml:space="preserve">Apakah gas bumi akan tetap dipakai setelah Indonesia mencapai NZE 2060?</w:t>
      </w:r>
    </w:p>
    <w:p>
      <w:pPr>
        <w:pStyle w:val="FirstParagraph"/>
      </w:pPr>
      <w:r>
        <w:t xml:space="preserve">Kemungkinan ya, tetapi dalam skala jauh lebih terbatas. Proyeksi ESDM mencatat sisa emisi sekitar 401 juta ton CO2e pada 2060, terutama dari industri dan transportasi yang sulit didekarbonisasi. Peran jangka panjangnya akan bergantung pada teknologi seperti</w:t>
      </w:r>
      <w:r>
        <w:t xml:space="preserve"> </w:t>
      </w:r>
      <w:r>
        <w:rPr>
          <w:i/>
          <w:iCs/>
        </w:rPr>
        <w:t xml:space="preserve">Carbon Capture and Storage</w:t>
      </w:r>
      <w:r>
        <w:t xml:space="preserve"> </w:t>
      </w:r>
      <w:r>
        <w:t xml:space="preserve">(CCS) dan hidrogen, yang di Indonesia masih dikembangkan.</w:t>
      </w:r>
    </w:p>
    <w:bookmarkEnd w:id="30"/>
    <w:bookmarkEnd w:id="31"/>
    <w:bookmarkStart w:id="32" w:name="kesimpulan"/>
    <w:p>
      <w:pPr>
        <w:pStyle w:val="Heading2"/>
      </w:pPr>
      <w:r>
        <w:t xml:space="preserve">Kesimpulan</w:t>
      </w:r>
    </w:p>
    <w:p>
      <w:pPr>
        <w:pStyle w:val="FirstParagraph"/>
      </w:pPr>
      <w:r>
        <w:t xml:space="preserve">Pertanyaan di awal tadi, mengapa energi bersih justru lewat gas bumi, kini punya jawaban yang lebih jujur: gas adalah jembatan yang masuk akal, bukan tujuan. Ia menurunkan emisi, menstabilkan sistem saat EBT belum mandiri, dan menjaga ketahanan energi domestik, selama keterbatasannya dikelola dengan batas waktu yang tegas. Di titik inilah CNG menerjemahkan kebijakan menjadi praktik. Sebagai anak usaha PGN yang merupakan bagian dari Subholding Gas Pertamina, PGN Gagas memposisikan gas bumi sebagai energi transisi yang lebih bersih dan hemat, sejalan dengan upaya memperkaya bauran energi nasional.</w:t>
      </w:r>
    </w:p>
    <w:p>
      <w:pPr>
        <w:pStyle w:val="BodyText"/>
      </w:pPr>
      <w:r>
        <w:t xml:space="preserve">Untuk mendiskusikan bagaimana pasokan gas bumi dapat mendukung langkah transisi energi di perusahaan Anda, kunjungi gagas.co.id dan mulai konsultasinya.</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1"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22"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1"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2026-06-09T09:04:20Z</dcterms:created>
  <dcterms:modified xsi:type="dcterms:W3CDTF">2026-06-09T09:04:20Z</dcterms:modified>
</cp:coreProperties>
</file>

<file path=docProps/custom.xml><?xml version="1.0" encoding="utf-8"?>
<Properties xmlns="http://schemas.openxmlformats.org/officeDocument/2006/custom-properties" xmlns:vt="http://schemas.openxmlformats.org/officeDocument/2006/docPropsVTypes"/>
</file>