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"Kapan Kendaraan &amp; Armada Anda BELUM Cocok Pakai BBG (Jujur)"</w:t>
      </w:r>
      <w:r>
        <w:br/>
      </w:r>
      <w:r>
        <w:rPr>
          <w:rStyle w:val="FunctionTok"/>
        </w:rPr>
        <w:t xml:space="preserve">meta_title</w:t>
      </w:r>
      <w:r>
        <w:rPr>
          <w:rStyle w:val="KeywordTok"/>
        </w:rPr>
        <w:t xml:space="preserve">:</w:t>
      </w:r>
      <w:r>
        <w:rPr>
          <w:rStyle w:val="AttributeTok"/>
        </w:rPr>
        <w:t xml:space="preserve"> </w:t>
      </w:r>
      <w:r>
        <w:rPr>
          <w:rStyle w:val="StringTok"/>
        </w:rPr>
        <w:t xml:space="preserve">"Kapan Kendaraan BELUM Cocok Pakai BBG (Gasku)?"</w:t>
      </w:r>
      <w:r>
        <w:br/>
      </w:r>
      <w:r>
        <w:rPr>
          <w:rStyle w:val="FunctionTok"/>
        </w:rPr>
        <w:t xml:space="preserve">meta_description</w:t>
      </w:r>
      <w:r>
        <w:rPr>
          <w:rStyle w:val="KeywordTok"/>
        </w:rPr>
        <w:t xml:space="preserve">:</w:t>
      </w:r>
      <w:r>
        <w:rPr>
          <w:rStyle w:val="AttributeTok"/>
        </w:rPr>
        <w:t xml:space="preserve"> </w:t>
      </w:r>
      <w:r>
        <w:rPr>
          <w:rStyle w:val="StringTok"/>
        </w:rPr>
        <w:t xml:space="preserve">"BBG (Gasku) hemat, tapi tidak untuk semua kendaraan. Kriteria jujur kapan menunda konversi: pemakaian rendah, jauh dari SPBG, garansi aktif, plus jalan keluarnya."</w:t>
      </w:r>
      <w:r>
        <w:br/>
      </w:r>
      <w:r>
        <w:rPr>
          <w:rStyle w:val="FunctionTok"/>
        </w:rPr>
        <w:t xml:space="preserve">slug</w:t>
      </w:r>
      <w:r>
        <w:rPr>
          <w:rStyle w:val="KeywordTok"/>
        </w:rPr>
        <w:t xml:space="preserve">:</w:t>
      </w:r>
      <w:r>
        <w:rPr>
          <w:rStyle w:val="AttributeTok"/>
        </w:rPr>
        <w:t xml:space="preserve"> </w:t>
      </w:r>
      <w:r>
        <w:rPr>
          <w:rStyle w:val="StringTok"/>
        </w:rPr>
        <w:t xml:space="preserve">"kapan-kendaraan-belum-cocok-pakai-bbg-gasku"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"BBG (Bahan Bakar Gas)"</w:t>
      </w:r>
      <w:r>
        <w:br/>
      </w:r>
      <w:r>
        <w:rPr>
          <w:rStyle w:val="AttributeTok"/>
        </w:rPr>
        <w:t xml:space="preserve">  </w:t>
      </w:r>
      <w:r>
        <w:rPr>
          <w:rStyle w:val="KeywordTok"/>
        </w:rPr>
        <w:t xml:space="preserve">-</w:t>
      </w:r>
      <w:r>
        <w:rPr>
          <w:rStyle w:val="AttributeTok"/>
        </w:rPr>
        <w:t xml:space="preserve"> </w:t>
      </w:r>
      <w:r>
        <w:rPr>
          <w:rStyle w:val="StringTok"/>
        </w:rPr>
        <w:t xml:space="preserve">"kekurangan BBG kendaraan"</w:t>
      </w:r>
      <w:r>
        <w:br/>
      </w:r>
      <w:r>
        <w:rPr>
          <w:rStyle w:val="AttributeTok"/>
        </w:rPr>
        <w:t xml:space="preserve">  </w:t>
      </w:r>
      <w:r>
        <w:rPr>
          <w:rStyle w:val="KeywordTok"/>
        </w:rPr>
        <w:t xml:space="preserve">-</w:t>
      </w:r>
      <w:r>
        <w:rPr>
          <w:rStyle w:val="AttributeTok"/>
        </w:rPr>
        <w:t xml:space="preserve"> </w:t>
      </w:r>
      <w:r>
        <w:rPr>
          <w:rStyle w:val="StringTok"/>
        </w:rPr>
        <w:t xml:space="preserve">"Converter Kit (C-Kit)"</w:t>
      </w:r>
      <w:r>
        <w:br/>
      </w:r>
      <w:r>
        <w:rPr>
          <w:rStyle w:val="AttributeTok"/>
        </w:rPr>
        <w:t xml:space="preserve">  </w:t>
      </w:r>
      <w:r>
        <w:rPr>
          <w:rStyle w:val="KeywordTok"/>
        </w:rPr>
        <w:t xml:space="preserve">-</w:t>
      </w:r>
      <w:r>
        <w:rPr>
          <w:rStyle w:val="AttributeTok"/>
        </w:rPr>
        <w:t xml:space="preserve"> </w:t>
      </w:r>
      <w:r>
        <w:rPr>
          <w:rStyle w:val="StringTok"/>
        </w:rPr>
        <w:t xml:space="preserve">"penurunan tenaga BBG"</w:t>
      </w:r>
      <w:r>
        <w:br/>
      </w:r>
      <w:r>
        <w:rPr>
          <w:rStyle w:val="AttributeTok"/>
        </w:rPr>
        <w:t xml:space="preserve">  </w:t>
      </w:r>
      <w:r>
        <w:rPr>
          <w:rStyle w:val="KeywordTok"/>
        </w:rPr>
        <w:t xml:space="preserve">-</w:t>
      </w:r>
      <w:r>
        <w:rPr>
          <w:rStyle w:val="AttributeTok"/>
        </w:rPr>
        <w:t xml:space="preserve"> </w:t>
      </w:r>
      <w:r>
        <w:rPr>
          <w:rStyle w:val="StringTok"/>
        </w:rPr>
        <w:t xml:space="preserve">"ketersediaan SPBG"</w:t>
      </w:r>
      <w:r>
        <w:br/>
      </w:r>
      <w:r>
        <w:rPr>
          <w:rStyle w:val="AttributeTok"/>
        </w:rPr>
        <w:t xml:space="preserve">  </w:t>
      </w:r>
      <w:r>
        <w:rPr>
          <w:rStyle w:val="KeywordTok"/>
        </w:rPr>
        <w:t xml:space="preserve">-</w:t>
      </w:r>
      <w:r>
        <w:rPr>
          <w:rStyle w:val="AttributeTok"/>
        </w:rPr>
        <w:t xml:space="preserve"> </w:t>
      </w:r>
      <w:r>
        <w:rPr>
          <w:rStyle w:val="StringTok"/>
        </w:rPr>
        <w:t xml:space="preserve">"garansi pabrikan konversi BBG"</w:t>
      </w:r>
      <w:r>
        <w:br/>
      </w:r>
      <w:r>
        <w:rPr>
          <w:rStyle w:val="AttributeTok"/>
        </w:rPr>
        <w:t xml:space="preserve">  </w:t>
      </w:r>
      <w:r>
        <w:rPr>
          <w:rStyle w:val="KeywordTok"/>
        </w:rPr>
        <w:t xml:space="preserve">-</w:t>
      </w:r>
      <w:r>
        <w:rPr>
          <w:rStyle w:val="AttributeTok"/>
        </w:rPr>
        <w:t xml:space="preserve"> </w:t>
      </w:r>
      <w:r>
        <w:rPr>
          <w:rStyle w:val="StringTok"/>
        </w:rPr>
        <w:t xml:space="preserve">"biaya konversi BBM ke BBG"</w:t>
      </w:r>
      <w:r>
        <w:br/>
      </w:r>
      <w:r>
        <w:rPr>
          <w:rStyle w:val="AttributeTok"/>
        </w:rPr>
        <w:t xml:space="preserve">  </w:t>
      </w:r>
      <w:r>
        <w:rPr>
          <w:rStyle w:val="KeywordTok"/>
        </w:rPr>
        <w:t xml:space="preserve">-</w:t>
      </w:r>
      <w:r>
        <w:rPr>
          <w:rStyle w:val="AttributeTok"/>
        </w:rPr>
        <w:t xml:space="preserve"> </w:t>
      </w:r>
      <w:r>
        <w:rPr>
          <w:rStyle w:val="StringTok"/>
        </w:rPr>
        <w:t xml:space="preserve">"keselamatan tabung CNG"</w:t>
      </w:r>
      <w:r>
        <w:br/>
      </w:r>
      <w:r>
        <w:rPr>
          <w:rStyle w:val="AttributeTok"/>
        </w:rPr>
        <w:t xml:space="preserve">  </w:t>
      </w:r>
      <w:r>
        <w:rPr>
          <w:rStyle w:val="KeywordTok"/>
        </w:rPr>
        <w:t xml:space="preserve">-</w:t>
      </w:r>
      <w:r>
        <w:rPr>
          <w:rStyle w:val="AttributeTok"/>
        </w:rPr>
        <w:t xml:space="preserve"> </w:t>
      </w:r>
      <w:r>
        <w:rPr>
          <w:rStyle w:val="StringTok"/>
        </w:rPr>
        <w:t xml:space="preserve">"PGN Gagas"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"https://pro.hukumonline.com/a/lt5007f386a4da3/persyaratan-teknis-untuk-kendaraan-bermotor-berbahan-bakar-gas"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 Perhubungan No. 39/2012 — persyaratan teknis &amp; sertifikasi bengkel konversi BBG"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"https://www.cnbcindonesia.com/news/20251106160934-4-682944/dorong-pemanfaatan-cng-pgn-operasikan-14-spbg-di-7-provinsi"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"Jumlah &amp; sebaran SPBG terkini: 14 SPBG di 7 provinsi (November 2025)"</w:t>
      </w:r>
      <w:r>
        <w:br/>
      </w:r>
      <w:r>
        <w:rPr>
          <w:rStyle w:val="FunctionTok"/>
        </w:rPr>
        <w:t xml:space="preserve">brief_id</w:t>
      </w:r>
      <w:r>
        <w:rPr>
          <w:rStyle w:val="KeywordTok"/>
        </w:rPr>
        <w:t xml:space="preserve">:</w:t>
      </w:r>
      <w:r>
        <w:rPr>
          <w:rStyle w:val="AttributeTok"/>
        </w:rPr>
        <w:t xml:space="preserve"> </w:t>
      </w:r>
      <w:r>
        <w:rPr>
          <w:rStyle w:val="StringTok"/>
        </w:rPr>
        <w:t xml:space="preserve">"gasku-03"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1560</w:t>
      </w:r>
    </w:p>
    <w:p>
      <w:r>
        <w:pict>
          <v:rect style="width:0;height:1.5pt" o:hralign="center" o:hrstd="t" o:hr="t"/>
        </w:pict>
      </w:r>
    </w:p>
    <w:bookmarkEnd w:id="16"/>
    <w:bookmarkStart w:id="33" w:name="X1b21612ae2c99ddcbad64706c93183b6b35dc2a"/>
    <w:p>
      <w:pPr>
        <w:pStyle w:val="Heading1"/>
      </w:pPr>
      <w:r>
        <w:t xml:space="preserve">Kapan Kendaraan &amp; Armada Anda BELUM Cocok Pakai BBG (Jujur)</w:t>
      </w:r>
    </w:p>
    <w:p>
      <w:pPr>
        <w:pStyle w:val="FirstParagraph"/>
      </w:pPr>
      <w:r>
        <w:t xml:space="preserve">Hampir semua artikel tentang BBG menjual sisi yang sama: hemat, oktan tinggi, lebih bersih. Itu benar, tapi tidak menjawab pertanyaan yang sebenarnya dipikirkan pemilik armada dan pengemudi yang skeptis: apakah konversi ini masuk akal untuk</w:t>
      </w:r>
      <w:r>
        <w:t xml:space="preserve"> </w:t>
      </w:r>
      <w:r>
        <w:rPr>
          <w:i/>
          <w:iCs/>
        </w:rPr>
        <w:t xml:space="preserve">kendaraan saya</w:t>
      </w:r>
      <w:r>
        <w:t xml:space="preserve">, dengan rute dan pola pakai saya? Artikel ini mengambil sudut sebaliknya: alih-alih mendorong semua orang beralih, kami uraikan kapan sebaiknya Anda menunda.</w:t>
      </w:r>
      <w:r>
        <w:t xml:space="preserve"> </w:t>
      </w:r>
      <w:hyperlink r:id="rId17">
        <w:r>
          <w:rPr>
            <w:rStyle w:val="Hyperlink"/>
          </w:rPr>
          <w:t xml:space="preserve">Gasku</w:t>
        </w:r>
      </w:hyperlink>
      <w:r>
        <w:t xml:space="preserve"> </w:t>
      </w:r>
      <w:r>
        <w:t xml:space="preserve">memang menarik secara ekonomi, tapi kelayakannya bergantung pada lima faktor konkret, bukan asumsi umum.</w:t>
      </w:r>
    </w:p>
    <w:p>
      <w:pPr>
        <w:pStyle w:val="BlockText"/>
      </w:pPr>
      <w:r>
        <w:rPr>
          <w:b/>
          <w:bCs/>
        </w:rPr>
        <w:t xml:space="preserve">Secara singkat:</w:t>
      </w:r>
      <w:r>
        <w:t xml:space="preserve"> </w:t>
      </w:r>
      <w:r>
        <w:t xml:space="preserve">Konversi ke BBG (Gasku) belum cocok ketika pemakaian harian rendah sehingga penghematan tak menutup biaya</w:t>
      </w:r>
      <w:r>
        <w:t xml:space="preserve"> </w:t>
      </w:r>
      <w:r>
        <w:rPr>
          <w:i/>
          <w:iCs/>
        </w:rPr>
        <w:t xml:space="preserve">converter kit</w:t>
      </w:r>
      <w:r>
        <w:t xml:space="preserve"> </w:t>
      </w:r>
      <w:r>
        <w:t xml:space="preserve">(kisaran pasar Rp 14–25 juta), rute jauh dari SPBG, kendaraan sudah tua, butuh bagasi penuh, atau garansi pabrikan masih aktif. Kelayakan ditentukan profil pemakaian nyata.</w:t>
      </w:r>
    </w:p>
    <w:bookmarkStart w:id="18" w:name="X29024732b408d3346ac348c66d3a712cb303a09"/>
    <w:p>
      <w:pPr>
        <w:pStyle w:val="Heading2"/>
      </w:pPr>
      <w:r>
        <w:t xml:space="preserve">BBG Memang Hemat, Tapi Tidak untuk Semua Kendaraan</w:t>
      </w:r>
    </w:p>
    <w:p>
      <w:pPr>
        <w:pStyle w:val="FirstParagraph"/>
      </w:pPr>
      <w:r>
        <w:t xml:space="preserve">BBG (Bahan Bakar Gas) berbasis CNG (</w:t>
      </w:r>
      <w:r>
        <w:rPr>
          <w:i/>
          <w:iCs/>
        </w:rPr>
        <w:t xml:space="preserve">Compressed Natural Gas</w:t>
      </w:r>
      <w:r>
        <w:t xml:space="preserve">) bisa memangkas biaya bahan bakar secara nyata, tetapi penghematan itu tidak otomatis berlaku untuk setiap kendaraan. Faktor penentunya adalah seberapa sering kendaraan dipakai, di mana ia beroperasi, dan dalam kondisi apa. Tanpa profil pemakaian yang tepat, biaya awal konversi bisa lebih besar dari manfaatnya.</w:t>
      </w:r>
    </w:p>
    <w:p>
      <w:pPr>
        <w:pStyle w:val="BodyText"/>
      </w:pPr>
      <w:r>
        <w:t xml:space="preserve">Logikanya sederhana: konversi BBG butuh investasi</w:t>
      </w:r>
      <w:r>
        <w:t xml:space="preserve"> </w:t>
      </w:r>
      <w:r>
        <w:rPr>
          <w:i/>
          <w:iCs/>
        </w:rPr>
        <w:t xml:space="preserve">converter kit</w:t>
      </w:r>
      <w:r>
        <w:t xml:space="preserve"> </w:t>
      </w:r>
      <w:r>
        <w:t xml:space="preserve">di depan, yang baru</w:t>
      </w:r>
      <w:r>
        <w:t xml:space="preserve"> </w:t>
      </w:r>
      <w:r>
        <w:t xml:space="preserve">“balik modal”</w:t>
      </w:r>
      <w:r>
        <w:t xml:space="preserve"> </w:t>
      </w:r>
      <w:r>
        <w:t xml:space="preserve">lewat selisih harga bahan bakar yang terkumpul setiap hari. Harga BBG Gasku tercatat Rp 4.500 per LSP (Liter Setara Premium) di laman resmi gagas.co.id, jauh di bawah bensin. Tapi selisih itu hanya berarti jika Anda menempuh jarak cukup jauh, cukup rutin, dan punya tempat mengisi gas dekat rute.</w:t>
      </w:r>
    </w:p>
    <w:p>
      <w:pPr>
        <w:pStyle w:val="BodyText"/>
      </w:pPr>
      <w:r>
        <w:rPr>
          <w:i/>
          <w:iCs/>
        </w:rPr>
        <w:t xml:space="preserve">[Image 01: Infografis checklist</w:t>
      </w:r>
      <w:r>
        <w:rPr>
          <w:i/>
          <w:iCs/>
        </w:rPr>
        <w:t xml:space="preserve"> </w:t>
      </w:r>
      <w:r>
        <w:rPr>
          <w:i/>
          <w:iCs/>
        </w:rPr>
        <w:t xml:space="preserve">“5 Tanda Kendaraan Anda BELUM Cocok Pakai BBG”</w:t>
      </w:r>
      <w:r>
        <w:rPr>
          <w:i/>
          <w:iCs/>
        </w:rPr>
        <w:t xml:space="preserve"> </w:t>
      </w:r>
      <w:r>
        <w:rPr>
          <w:i/>
          <w:iCs/>
        </w:rPr>
        <w:t xml:space="preserve">bergaya flowchart yes/no yang mudah dipindai — lima kotak: pemakaian harian rendah, rute tanpa SPBG, kendaraan tua/mesin kurang prima, butuh bagasi penuh, garansi pabrikan masih aktif. Warna oranye untuk</w:t>
      </w:r>
      <w:r>
        <w:rPr>
          <w:i/>
          <w:iCs/>
        </w:rPr>
        <w:t xml:space="preserve"> </w:t>
      </w:r>
      <w:r>
        <w:rPr>
          <w:i/>
          <w:iCs/>
        </w:rPr>
        <w:t xml:space="preserve">“pertimbangkan tunda”</w:t>
      </w:r>
      <w:r>
        <w:rPr>
          <w:i/>
          <w:iCs/>
        </w:rPr>
        <w:t xml:space="preserve"> </w:t>
      </w:r>
      <w:r>
        <w:rPr>
          <w:i/>
          <w:iCs/>
        </w:rPr>
        <w:t xml:space="preserve">dan hijau untuk</w:t>
      </w:r>
      <w:r>
        <w:rPr>
          <w:i/>
          <w:iCs/>
        </w:rPr>
        <w:t xml:space="preserve"> </w:t>
      </w:r>
      <w:r>
        <w:rPr>
          <w:i/>
          <w:iCs/>
        </w:rPr>
        <w:t xml:space="preserve">“lanjut evaluasi”</w:t>
      </w:r>
      <w:r>
        <w:rPr>
          <w:i/>
          <w:iCs/>
        </w:rPr>
        <w:t xml:space="preserve">. Teks Bahasa Indonesia, gaya korporat bersih.]</w:t>
      </w:r>
    </w:p>
    <w:bookmarkEnd w:id="18"/>
    <w:bookmarkStart w:id="19" w:name="Xc112d70560c1d46df558291534729af81a2f871"/>
    <w:p>
      <w:pPr>
        <w:pStyle w:val="Heading2"/>
      </w:pPr>
      <w:r>
        <w:t xml:space="preserve">Kapan Kendaraan atau Armada Anda BELUM Cocok Pakai BBG?</w:t>
      </w:r>
    </w:p>
    <w:p>
      <w:pPr>
        <w:pStyle w:val="FirstParagraph"/>
      </w:pPr>
      <w:r>
        <w:t xml:space="preserve">Tunda konversi jika kendaraan Anda memenuhi satu atau lebih dari lima kondisi ini: pemakaian harian rendah, rute jauh dari SPBG, kondisi mesin kurang prima, kebutuhan bagasi penuh, atau garansi pabrikan masih aktif. Masing-masing menggerus alasan ekonomi atau menambah risiko, sehingga manfaat BBG belum sebanding dengan biayanya. Berikut rinciannya.</w:t>
      </w:r>
    </w:p>
    <w:p>
      <w:pPr>
        <w:pStyle w:val="Compact"/>
        <w:numPr>
          <w:ilvl w:val="0"/>
          <w:numId w:val="1001"/>
        </w:numPr>
      </w:pPr>
      <w:r>
        <w:rPr>
          <w:b/>
          <w:bCs/>
        </w:rPr>
        <w:t xml:space="preserve">Pemakaian dan jarak harian rendah.</w:t>
      </w:r>
      <w:r>
        <w:t xml:space="preserve"> </w:t>
      </w:r>
      <w:r>
        <w:t xml:space="preserve">Penghematan BBG terkumpul per kilometer. Untuk pengemudi sekitar 60 km/hari dan tidak tiap hari, selisih harga baru menutup biaya</w:t>
      </w:r>
      <w:r>
        <w:t xml:space="preserve"> </w:t>
      </w:r>
      <w:r>
        <w:rPr>
          <w:i/>
          <w:iCs/>
        </w:rPr>
        <w:t xml:space="preserve">converter kit</w:t>
      </w:r>
      <w:r>
        <w:t xml:space="preserve"> </w:t>
      </w:r>
      <w:r>
        <w:t xml:space="preserve">setelah dua tahun lebih.</w:t>
      </w:r>
    </w:p>
    <w:p>
      <w:pPr>
        <w:pStyle w:val="Compact"/>
        <w:numPr>
          <w:ilvl w:val="0"/>
          <w:numId w:val="1001"/>
        </w:numPr>
      </w:pPr>
      <w:r>
        <w:rPr>
          <w:b/>
          <w:bCs/>
        </w:rPr>
        <w:t xml:space="preserve">Rute jauh dari SPBG.</w:t>
      </w:r>
      <w:r>
        <w:t xml:space="preserve"> </w:t>
      </w:r>
      <w:r>
        <w:t xml:space="preserve">Hambatan paling praktis. Jaringan SPBG di Indonesia masih terbatas: per November 2025 tercatat 14 SPBG di 7 provinsi (CNBC Indonesia, 2025), terkonsentrasi di Jabodetabek, sebagian Jawa Barat, Banten, Lampung, Batam, dan Surabaya. Di luar cakupan ini, Anda akan sering terpaksa pakai bensin.</w:t>
      </w:r>
    </w:p>
    <w:p>
      <w:pPr>
        <w:pStyle w:val="Compact"/>
        <w:numPr>
          <w:ilvl w:val="0"/>
          <w:numId w:val="1001"/>
        </w:numPr>
      </w:pPr>
      <w:r>
        <w:rPr>
          <w:b/>
          <w:bCs/>
        </w:rPr>
        <w:t xml:space="preserve">Kendaraan tua atau kondisi mesin kurang prima.</w:t>
      </w:r>
      <w:r>
        <w:t xml:space="preserve"> </w:t>
      </w:r>
      <w:r>
        <w:t xml:space="preserve">BBG sensitif pada komponen pengapian. Mesin dengan busi aus, koil lemah, atau kompresi rendah membakar gas kurang optimal, sehingga penurunan tenaga terasa lebih besar.</w:t>
      </w:r>
    </w:p>
    <w:p>
      <w:pPr>
        <w:pStyle w:val="Compact"/>
        <w:numPr>
          <w:ilvl w:val="0"/>
          <w:numId w:val="1001"/>
        </w:numPr>
      </w:pPr>
      <w:r>
        <w:rPr>
          <w:b/>
          <w:bCs/>
        </w:rPr>
        <w:t xml:space="preserve">Butuh kapasitas bagasi penuh.</w:t>
      </w:r>
      <w:r>
        <w:t xml:space="preserve"> </w:t>
      </w:r>
      <w:r>
        <w:t xml:space="preserve">Tabung CNG menyita sebagian ruang bagasi. Untuk kendaraan kargo yang mengandalkan daya angkut, ini trade-off serius.</w:t>
      </w:r>
    </w:p>
    <w:p>
      <w:pPr>
        <w:pStyle w:val="Compact"/>
        <w:numPr>
          <w:ilvl w:val="0"/>
          <w:numId w:val="1001"/>
        </w:numPr>
      </w:pPr>
      <w:r>
        <w:rPr>
          <w:b/>
          <w:bCs/>
        </w:rPr>
        <w:t xml:space="preserve">Garansi pabrikan masih aktif.</w:t>
      </w:r>
      <w:r>
        <w:t xml:space="preserve"> </w:t>
      </w:r>
      <w:r>
        <w:t xml:space="preserve">Konversi mengubah sistem bahan bakar dan berpotensi membatalkan garansi. Selama masih bergaransi, menunggu lebih aman.</w:t>
      </w:r>
    </w:p>
    <w:p>
      <w:pPr>
        <w:pStyle w:val="FirstParagraph"/>
      </w:pPr>
      <w:r>
        <w:t xml:space="preserve">Tidak semua tanda harus ada. Satu faktor dominan, misalnya tidak ada SPBG sepanjang rute, sudah cukup untuk menunda.</w:t>
      </w:r>
    </w:p>
    <w:bookmarkEnd w:id="19"/>
    <w:bookmarkStart w:id="20" w:name="X903af3d05a8b63e627f98f0e3a6d9f76f4f467c"/>
    <w:p>
      <w:pPr>
        <w:pStyle w:val="Heading2"/>
      </w:pPr>
      <w:r>
        <w:t xml:space="preserve">Profil Mana yang Cocok, Mana yang Sebaiknya Menunggu?</w:t>
      </w:r>
    </w:p>
    <w:p>
      <w:pPr>
        <w:pStyle w:val="FirstParagraph"/>
      </w:pPr>
      <w:r>
        <w:t xml:space="preserve">Profil yang cocok adalah kendaraan dengan pemakaian tinggi dan konsisten, beroperasi di kota ber-SPBG, mesin sehat, dan di luar masa garansi, seperti taksi atau pengemudi online intensif. Profil yang sebaiknya menunggu adalah pemakai jarak pendek, armada lintas-provinsi tanpa kepastian SPBG, kendaraan tua, atau yang masih bergaransi.</w:t>
      </w:r>
    </w:p>
    <w:p>
      <w:pPr>
        <w:pStyle w:val="BodyText"/>
      </w:pPr>
      <w:r>
        <w:t xml:space="preserve">Tabel berikut membantu menempatkan kasus Anda.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Profil kendaraan/armada</w:t>
            </w:r>
          </w:p>
        </w:tc>
        <w:tc>
          <w:tcPr/>
          <w:p>
            <w:pPr>
              <w:pStyle w:val="Compact"/>
            </w:pPr>
            <w:r>
              <w:t xml:space="preserve">Pola pemakaian</w:t>
            </w:r>
          </w:p>
        </w:tc>
        <w:tc>
          <w:tcPr/>
          <w:p>
            <w:pPr>
              <w:pStyle w:val="Compact"/>
            </w:pPr>
            <w:r>
              <w:t xml:space="preserve">Akses SPBG</w:t>
            </w:r>
          </w:p>
        </w:tc>
        <w:tc>
          <w:tcPr/>
          <w:p>
            <w:pPr>
              <w:pStyle w:val="Compact"/>
            </w:pPr>
            <w:r>
              <w:t xml:space="preserve">Kondisi kendaraan</w:t>
            </w:r>
          </w:p>
        </w:tc>
        <w:tc>
          <w:tcPr/>
          <w:p>
            <w:pPr>
              <w:pStyle w:val="Compact"/>
            </w:pPr>
            <w:r>
              <w:t xml:space="preserve">Rekomendasi</w:t>
            </w:r>
          </w:p>
        </w:tc>
      </w:tr>
      <w:tr>
        <w:tc>
          <w:tcPr/>
          <w:p>
            <w:pPr>
              <w:pStyle w:val="Compact"/>
            </w:pPr>
            <w:r>
              <w:t xml:space="preserve">Sopir online/taksi harian (Jakarta/Surabaya)</w:t>
            </w:r>
          </w:p>
        </w:tc>
        <w:tc>
          <w:tcPr/>
          <w:p>
            <w:pPr>
              <w:pStyle w:val="Compact"/>
            </w:pPr>
            <w:r>
              <w:t xml:space="preserve">Tinggi &amp; konsisten (200–300 km/hari)</w:t>
            </w:r>
          </w:p>
        </w:tc>
        <w:tc>
          <w:tcPr/>
          <w:p>
            <w:pPr>
              <w:pStyle w:val="Compact"/>
            </w:pPr>
            <w:r>
              <w:t xml:space="preserve">Dekat SPBG dalam rute</w:t>
            </w:r>
          </w:p>
        </w:tc>
        <w:tc>
          <w:tcPr/>
          <w:p>
            <w:pPr>
              <w:pStyle w:val="Compact"/>
            </w:pPr>
            <w:r>
              <w:t xml:space="preserve">Relatif baru, mesin prima, garansi habis</w:t>
            </w:r>
          </w:p>
        </w:tc>
        <w:tc>
          <w:tcPr/>
          <w:p>
            <w:pPr>
              <w:pStyle w:val="Compact"/>
            </w:pPr>
            <w:r>
              <w:rPr>
                <w:b/>
                <w:bCs/>
              </w:rPr>
              <w:t xml:space="preserve">Cocok</w:t>
            </w:r>
            <w:r>
              <w:t xml:space="preserve"> </w:t>
            </w:r>
            <w:r>
              <w:t xml:space="preserve">— payback cepat</w:t>
            </w:r>
          </w:p>
        </w:tc>
      </w:tr>
      <w:tr>
        <w:tc>
          <w:tcPr/>
          <w:p>
            <w:pPr>
              <w:pStyle w:val="Compact"/>
            </w:pPr>
            <w:r>
              <w:t xml:space="preserve">Angkot/bajaj kota ber-SPBG</w:t>
            </w:r>
          </w:p>
        </w:tc>
        <w:tc>
          <w:tcPr/>
          <w:p>
            <w:pPr>
              <w:pStyle w:val="Compact"/>
            </w:pPr>
            <w:r>
              <w:t xml:space="preserve">Tinggi, rute tetap</w:t>
            </w:r>
          </w:p>
        </w:tc>
        <w:tc>
          <w:tcPr/>
          <w:p>
            <w:pPr>
              <w:pStyle w:val="Compact"/>
            </w:pPr>
            <w:r>
              <w:t xml:space="preserve">SPBG di jalur rute</w:t>
            </w:r>
          </w:p>
        </w:tc>
        <w:tc>
          <w:tcPr/>
          <w:p>
            <w:pPr>
              <w:pStyle w:val="Compact"/>
            </w:pPr>
            <w:r>
              <w:t xml:space="preserve">Bisa tua tapi terawat</w:t>
            </w:r>
          </w:p>
        </w:tc>
        <w:tc>
          <w:tcPr/>
          <w:p>
            <w:pPr>
              <w:pStyle w:val="Compact"/>
            </w:pPr>
            <w:r>
              <w:rPr>
                <w:b/>
                <w:bCs/>
              </w:rPr>
              <w:t xml:space="preserve">Cocok</w:t>
            </w:r>
            <w:r>
              <w:t xml:space="preserve"> </w:t>
            </w:r>
            <w:r>
              <w:t xml:space="preserve">— tak perlu khawatir isi ulang</w:t>
            </w:r>
          </w:p>
        </w:tc>
      </w:tr>
      <w:tr>
        <w:tc>
          <w:tcPr/>
          <w:p>
            <w:pPr>
              <w:pStyle w:val="Compact"/>
            </w:pPr>
            <w:r>
              <w:t xml:space="preserve">Armada logistik rute tetap (mis. Jakarta–Bekasi–Bogor)</w:t>
            </w:r>
          </w:p>
        </w:tc>
        <w:tc>
          <w:tcPr/>
          <w:p>
            <w:pPr>
              <w:pStyle w:val="Compact"/>
            </w:pPr>
            <w:r>
              <w:t xml:space="preserve">Tinggi, terjadwal</w:t>
            </w:r>
          </w:p>
        </w:tc>
        <w:tc>
          <w:tcPr/>
          <w:p>
            <w:pPr>
              <w:pStyle w:val="Compact"/>
            </w:pPr>
            <w:r>
              <w:t xml:space="preserve">Rute melewati SPBG</w:t>
            </w:r>
          </w:p>
        </w:tc>
        <w:tc>
          <w:tcPr/>
          <w:p>
            <w:pPr>
              <w:pStyle w:val="Compact"/>
            </w:pPr>
            <w:r>
              <w:t xml:space="preserve">Terawat</w:t>
            </w:r>
          </w:p>
        </w:tc>
        <w:tc>
          <w:tcPr/>
          <w:p>
            <w:pPr>
              <w:pStyle w:val="Compact"/>
            </w:pPr>
            <w:r>
              <w:rPr>
                <w:b/>
                <w:bCs/>
              </w:rPr>
              <w:t xml:space="preserve">Cocok</w:t>
            </w:r>
            <w:r>
              <w:t xml:space="preserve"> </w:t>
            </w:r>
            <w:r>
              <w:t xml:space="preserve">— konsumsi tinggi</w:t>
            </w:r>
          </w:p>
        </w:tc>
      </w:tr>
      <w:tr>
        <w:tc>
          <w:tcPr/>
          <w:p>
            <w:pPr>
              <w:pStyle w:val="Compact"/>
            </w:pPr>
            <w:r>
              <w:t xml:space="preserve">Kendaraan pribadi pemakai akhir pekan</w:t>
            </w:r>
          </w:p>
        </w:tc>
        <w:tc>
          <w:tcPr/>
          <w:p>
            <w:pPr>
              <w:pStyle w:val="Compact"/>
            </w:pPr>
            <w:r>
              <w:t xml:space="preserve">Rendah (30–60 km/hari)</w:t>
            </w:r>
          </w:p>
        </w:tc>
        <w:tc>
          <w:tcPr/>
          <w:p>
            <w:pPr>
              <w:pStyle w:val="Compact"/>
            </w:pPr>
            <w:r>
              <w:t xml:space="preserve">Kadang dekat SPBG</w:t>
            </w:r>
          </w:p>
        </w:tc>
        <w:tc>
          <w:tcPr/>
          <w:p>
            <w:pPr>
              <w:pStyle w:val="Compact"/>
            </w:pPr>
            <w:r>
              <w:t xml:space="preserve">Mesin cukup</w:t>
            </w:r>
          </w:p>
        </w:tc>
        <w:tc>
          <w:tcPr/>
          <w:p>
            <w:pPr>
              <w:pStyle w:val="Compact"/>
            </w:pPr>
            <w:r>
              <w:rPr>
                <w:b/>
                <w:bCs/>
              </w:rPr>
              <w:t xml:space="preserve">Belum cocok</w:t>
            </w:r>
            <w:r>
              <w:t xml:space="preserve"> </w:t>
            </w:r>
            <w:r>
              <w:t xml:space="preserve">— penghematan terlalu kecil</w:t>
            </w:r>
          </w:p>
        </w:tc>
      </w:tr>
      <w:tr>
        <w:tc>
          <w:tcPr/>
          <w:p>
            <w:pPr>
              <w:pStyle w:val="Compact"/>
            </w:pPr>
            <w:r>
              <w:t xml:space="preserve">Armada lintas-provinsi tanpa kepastian SPBG</w:t>
            </w:r>
          </w:p>
        </w:tc>
        <w:tc>
          <w:tcPr/>
          <w:p>
            <w:pPr>
              <w:pStyle w:val="Compact"/>
            </w:pPr>
            <w:r>
              <w:t xml:space="preserve">Variabel, lewati daerah tanpa SPBG</w:t>
            </w:r>
          </w:p>
        </w:tc>
        <w:tc>
          <w:tcPr/>
          <w:p>
            <w:pPr>
              <w:pStyle w:val="Compact"/>
            </w:pPr>
            <w:r>
              <w:t xml:space="preserve">Banyak titik tanpa SPBG</w:t>
            </w:r>
          </w:p>
        </w:tc>
        <w:tc>
          <w:tcPr/>
          <w:p>
            <w:pPr>
              <w:pStyle w:val="Compact"/>
            </w:pPr>
            <w:r>
              <w:t xml:space="preserve">—</w:t>
            </w:r>
          </w:p>
        </w:tc>
        <w:tc>
          <w:tcPr/>
          <w:p>
            <w:pPr>
              <w:pStyle w:val="Compact"/>
            </w:pPr>
            <w:r>
              <w:rPr>
                <w:b/>
                <w:bCs/>
              </w:rPr>
              <w:t xml:space="preserve">Belum cocok</w:t>
            </w:r>
            <w:r>
              <w:t xml:space="preserve"> </w:t>
            </w:r>
            <w:r>
              <w:t xml:space="preserve">— sering balik ke bensin</w:t>
            </w:r>
          </w:p>
        </w:tc>
      </w:tr>
      <w:tr>
        <w:tc>
          <w:tcPr/>
          <w:p>
            <w:pPr>
              <w:pStyle w:val="Compact"/>
            </w:pPr>
            <w:r>
              <w:t xml:space="preserve">Kendaraan masih bergaransi pabrikan</w:t>
            </w:r>
          </w:p>
        </w:tc>
        <w:tc>
          <w:tcPr/>
          <w:p>
            <w:pPr>
              <w:pStyle w:val="Compact"/>
            </w:pPr>
            <w:r>
              <w:t xml:space="preserve">—</w:t>
            </w:r>
          </w:p>
        </w:tc>
        <w:tc>
          <w:tcPr/>
          <w:p>
            <w:pPr>
              <w:pStyle w:val="Compact"/>
            </w:pPr>
            <w:r>
              <w:t xml:space="preserve">—</w:t>
            </w:r>
          </w:p>
        </w:tc>
        <w:tc>
          <w:tcPr/>
          <w:p>
            <w:pPr>
              <w:pStyle w:val="Compact"/>
            </w:pPr>
            <w:r>
              <w:t xml:space="preserve">Baru, garansi berlaku</w:t>
            </w:r>
          </w:p>
        </w:tc>
        <w:tc>
          <w:tcPr/>
          <w:p>
            <w:pPr>
              <w:pStyle w:val="Compact"/>
            </w:pPr>
            <w:r>
              <w:rPr>
                <w:b/>
                <w:bCs/>
              </w:rPr>
              <w:t xml:space="preserve">Tunda</w:t>
            </w:r>
            <w:r>
              <w:t xml:space="preserve"> </w:t>
            </w:r>
            <w:r>
              <w:t xml:space="preserve">— tunggu garansi habis</w:t>
            </w:r>
          </w:p>
        </w:tc>
      </w:tr>
      <w:tr>
        <w:tc>
          <w:tcPr/>
          <w:p>
            <w:pPr>
              <w:pStyle w:val="Compact"/>
            </w:pPr>
            <w:r>
              <w:t xml:space="preserve">Kendaraan tua, pengapian buruk</w:t>
            </w:r>
          </w:p>
        </w:tc>
        <w:tc>
          <w:tcPr/>
          <w:p>
            <w:pPr>
              <w:pStyle w:val="Compact"/>
            </w:pPr>
            <w:r>
              <w:t xml:space="preserve">—</w:t>
            </w:r>
          </w:p>
        </w:tc>
        <w:tc>
          <w:tcPr/>
          <w:p>
            <w:pPr>
              <w:pStyle w:val="Compact"/>
            </w:pPr>
            <w:r>
              <w:t xml:space="preserve">—</w:t>
            </w:r>
          </w:p>
        </w:tc>
        <w:tc>
          <w:tcPr/>
          <w:p>
            <w:pPr>
              <w:pStyle w:val="Compact"/>
            </w:pPr>
            <w:r>
              <w:t xml:space="preserve">Busi aus, koil lemah</w:t>
            </w:r>
          </w:p>
        </w:tc>
        <w:tc>
          <w:tcPr/>
          <w:p>
            <w:pPr>
              <w:pStyle w:val="Compact"/>
            </w:pPr>
            <w:r>
              <w:rPr>
                <w:b/>
                <w:bCs/>
              </w:rPr>
              <w:t xml:space="preserve">Tunda</w:t>
            </w:r>
            <w:r>
              <w:t xml:space="preserve"> </w:t>
            </w:r>
            <w:r>
              <w:t xml:space="preserve">— perbaiki mesin dulu</w:t>
            </w:r>
          </w:p>
        </w:tc>
      </w:tr>
    </w:tbl>
    <w:p>
      <w:pPr>
        <w:pStyle w:val="BodyText"/>
      </w:pPr>
      <w:r>
        <w:t xml:space="preserve">Polanya jelas: rute tetap dengan konsumsi tinggi hampir selalu layak dikonversi, kendaraan pribadi berjarak pendek sebaliknya. Sisanya area abu-abu yang menuntut hitungan payback dengan angka Anda.</w:t>
      </w:r>
    </w:p>
    <w:p>
      <w:pPr>
        <w:pStyle w:val="BodyText"/>
      </w:pPr>
      <w:r>
        <w:rPr>
          <w:i/>
          <w:iCs/>
        </w:rPr>
        <w:t xml:space="preserve">[Image 02: Ilustrasi kontras dua kolom</w:t>
      </w:r>
      <w:r>
        <w:rPr>
          <w:i/>
          <w:iCs/>
        </w:rPr>
        <w:t xml:space="preserve"> </w:t>
      </w:r>
      <w:r>
        <w:rPr>
          <w:i/>
          <w:iCs/>
        </w:rPr>
        <w:t xml:space="preserve">“Cocok vs Belum Tentu Cocok”</w:t>
      </w:r>
      <w:r>
        <w:rPr>
          <w:i/>
          <w:iCs/>
        </w:rPr>
        <w:t xml:space="preserve"> </w:t>
      </w:r>
      <w:r>
        <w:rPr>
          <w:i/>
          <w:iCs/>
        </w:rPr>
        <w:t xml:space="preserve">— kiri menampilkan ikon sopir online/taksi intensif di kota dengan ikon SPBG terdekat dan label</w:t>
      </w:r>
      <w:r>
        <w:rPr>
          <w:i/>
          <w:iCs/>
        </w:rPr>
        <w:t xml:space="preserve"> </w:t>
      </w:r>
      <w:r>
        <w:rPr>
          <w:i/>
          <w:iCs/>
        </w:rPr>
        <w:t xml:space="preserve">“Cocok”</w:t>
      </w:r>
      <w:r>
        <w:rPr>
          <w:i/>
          <w:iCs/>
        </w:rPr>
        <w:t xml:space="preserve">; kanan menampilkan ikon kendaraan pribadi dengan ikon kalender akhir pekan dan SPBG jauh, label</w:t>
      </w:r>
      <w:r>
        <w:rPr>
          <w:i/>
          <w:iCs/>
        </w:rPr>
        <w:t xml:space="preserve"> </w:t>
      </w:r>
      <w:r>
        <w:rPr>
          <w:i/>
          <w:iCs/>
        </w:rPr>
        <w:t xml:space="preserve">“Belum tentu”</w:t>
      </w:r>
      <w:r>
        <w:rPr>
          <w:i/>
          <w:iCs/>
        </w:rPr>
        <w:t xml:space="preserve">. Gaya flat, ikon kendaraan + SPBG + kalender/jarak, palet hijau-oranye, teks Bahasa Indonesia, ramah dibagikan via WhatsApp.]</w:t>
      </w:r>
    </w:p>
    <w:bookmarkEnd w:id="20"/>
    <w:bookmarkStart w:id="21" w:name="Xfd4d5c8026f58d22577ad6d4f2efe0aa059d244"/>
    <w:p>
      <w:pPr>
        <w:pStyle w:val="Heading2"/>
      </w:pPr>
      <w:r>
        <w:t xml:space="preserve">Trade-off yang Nyata vs Ketakutan yang Berlebihan</w:t>
      </w:r>
    </w:p>
    <w:p>
      <w:pPr>
        <w:pStyle w:val="FirstParagraph"/>
      </w:pPr>
      <w:r>
        <w:t xml:space="preserve">Sebagian keberatan terhadap BBG adalah trade-off nyata yang harus diterima; sebagian lagi ketakutan yang berlebihan jika instalasi sesuai standar. Memisahkan keduanya penting agar keputusan didasari fakta, bukan rumor: tenaga turun dan bagasi tersita itu nyata;</w:t>
      </w:r>
      <w:r>
        <w:t xml:space="preserve"> </w:t>
      </w:r>
      <w:r>
        <w:t xml:space="preserve">“tabung pasti meledak”</w:t>
      </w:r>
      <w:r>
        <w:t xml:space="preserve"> </w:t>
      </w:r>
      <w:r>
        <w:t xml:space="preserve">tidak proporsional dengan bukti teknis.</w:t>
      </w:r>
    </w:p>
    <w:p>
      <w:pPr>
        <w:pStyle w:val="BodyText"/>
      </w:pPr>
      <w:r>
        <w:t xml:space="preserve">Mulai dari yang nyata. Retrofit BBG pada mesin bensin umumnya menurunkan tenaga sekitar 10–15% pada kondisi normal, dan bisa mencapai sekitar 20% saat beban penuh, bergantung pada kendaraan dan kualitas</w:t>
      </w:r>
      <w:r>
        <w:t xml:space="preserve"> </w:t>
      </w:r>
      <w:r>
        <w:rPr>
          <w:i/>
          <w:iCs/>
        </w:rPr>
        <w:t xml:space="preserve">converter kit</w:t>
      </w:r>
      <w:r>
        <w:t xml:space="preserve"> </w:t>
      </w:r>
      <w:r>
        <w:t xml:space="preserve">(tinjauan sistematis ScienceDirect, 2026; data Honda City menunjukkan penurunan ~15% dari 120 PS ke 102 PS). Penurunan paling terasa saat membawa muatan berat atau menanjak. Ini rentang yang bervariasi per kendaraan, bukan janji pasti. Tabung yang menyita ruang bagasi dan biaya awal juga trade-off yang sah.</w:t>
      </w:r>
    </w:p>
    <w:p>
      <w:pPr>
        <w:pStyle w:val="BodyText"/>
      </w:pPr>
      <w:r>
        <w:t xml:space="preserve">Sekarang yang berlebihan. CNG butuh suhu nyala sekitar 540°C, jauh di atas bensin yang sekitar 250°C, sehingga risiko menyala dari percikan kecil lebih rendah. Gas alam juga lebih ringan dari udara (berat jenis sekitar 0,55–0,80 dibanding udara = 1, menurut Ditjen Migas ESDM), jadi saat bocor ia naik, tidak menggenang seperti uap bensin. Tabung CNG dirancang lolos uji</w:t>
      </w:r>
      <w:r>
        <w:t xml:space="preserve"> </w:t>
      </w:r>
      <w:r>
        <w:rPr>
          <w:i/>
          <w:iCs/>
        </w:rPr>
        <w:t xml:space="preserve">impact</w:t>
      </w:r>
      <w:r>
        <w:t xml:space="preserve">,</w:t>
      </w:r>
      <w:r>
        <w:t xml:space="preserve"> </w:t>
      </w:r>
      <w:r>
        <w:rPr>
          <w:i/>
          <w:iCs/>
        </w:rPr>
        <w:t xml:space="preserve">bonfire</w:t>
      </w:r>
      <w:r>
        <w:t xml:space="preserve">, dan</w:t>
      </w:r>
      <w:r>
        <w:t xml:space="preserve"> </w:t>
      </w:r>
      <w:r>
        <w:rPr>
          <w:i/>
          <w:iCs/>
        </w:rPr>
        <w:t xml:space="preserve">gunfire</w:t>
      </w:r>
      <w:r>
        <w:t xml:space="preserve">, serta dilengkapi</w:t>
      </w:r>
      <w:r>
        <w:t xml:space="preserve"> </w:t>
      </w:r>
      <w:r>
        <w:rPr>
          <w:i/>
          <w:iCs/>
        </w:rPr>
        <w:t xml:space="preserve">solenoid valve</w:t>
      </w:r>
      <w:r>
        <w:t xml:space="preserve"> </w:t>
      </w:r>
      <w:r>
        <w:t xml:space="preserve">penutup otomatis dan sensor gas. Menurut ringkasan Journal of Safety Science and Resilience (September 2024, via solarindustri.com), risiko keselamatan CNG tergolong rendah. Maka kekhawatiran</w:t>
      </w:r>
      <w:r>
        <w:t xml:space="preserve"> </w:t>
      </w:r>
      <w:r>
        <w:t xml:space="preserve">“meledak sembarangan”</w:t>
      </w:r>
      <w:r>
        <w:t xml:space="preserve"> </w:t>
      </w:r>
      <w:r>
        <w:t xml:space="preserve">tidak sebanding dengan rancangan keselamatan yang ada, sepanjang instalasi dilakukan di bengkel bersertifikasi sesuai PM Perhubungan No. 39 Tahun 2012.</w:t>
      </w:r>
    </w:p>
    <w:p>
      <w:pPr>
        <w:pStyle w:val="BodyText"/>
      </w:pPr>
      <w:r>
        <w:rPr>
          <w:i/>
          <w:iCs/>
        </w:rPr>
        <w:t xml:space="preserve">[Image 03: Diagram dua kolom</w:t>
      </w:r>
      <w:r>
        <w:rPr>
          <w:i/>
          <w:iCs/>
        </w:rPr>
        <w:t xml:space="preserve"> </w:t>
      </w:r>
      <w:r>
        <w:rPr>
          <w:i/>
          <w:iCs/>
        </w:rPr>
        <w:t xml:space="preserve">“Trade-off Nyata vs Ketakutan Berlebihan”</w:t>
      </w:r>
      <w:r>
        <w:rPr>
          <w:i/>
          <w:iCs/>
        </w:rPr>
        <w:t xml:space="preserve"> </w:t>
      </w:r>
      <w:r>
        <w:rPr>
          <w:i/>
          <w:iCs/>
        </w:rPr>
        <w:t xml:space="preserve">— kolom kiri (tanda seru oranye): tenaga turun ~10–15%, bagasi tersita, biaya awal converter kit, perlu cek SPBG; kolom kanan (silang merah):</w:t>
      </w:r>
      <w:r>
        <w:rPr>
          <w:i/>
          <w:iCs/>
        </w:rPr>
        <w:t xml:space="preserve"> </w:t>
      </w:r>
      <w:r>
        <w:rPr>
          <w:i/>
          <w:iCs/>
        </w:rPr>
        <w:t xml:space="preserve">“tabung pasti meledak”</w:t>
      </w:r>
      <w:r>
        <w:rPr>
          <w:i/>
          <w:iCs/>
        </w:rPr>
        <w:t xml:space="preserve">,</w:t>
      </w:r>
      <w:r>
        <w:rPr>
          <w:i/>
          <w:iCs/>
        </w:rPr>
        <w:t xml:space="preserve"> </w:t>
      </w:r>
      <w:r>
        <w:rPr>
          <w:i/>
          <w:iCs/>
        </w:rPr>
        <w:t xml:space="preserve">“BBG lebih berbahaya dari bensin”</w:t>
      </w:r>
      <w:r>
        <w:rPr>
          <w:i/>
          <w:iCs/>
        </w:rPr>
        <w:t xml:space="preserve">. Desain bersih, ikon kontras, teks Bahasa Indonesia, mudah dibaca cepat.]</w:t>
      </w:r>
    </w:p>
    <w:bookmarkEnd w:id="21"/>
    <w:bookmarkStart w:id="24" w:name="X086474f788b8cea8ad50d12376408d946a65ce8"/>
    <w:p>
      <w:pPr>
        <w:pStyle w:val="Heading2"/>
      </w:pPr>
      <w:r>
        <w:t xml:space="preserve">Kalau Begini, Konversi ke BBG Justru Masuk Akal</w:t>
      </w:r>
    </w:p>
    <w:p>
      <w:pPr>
        <w:pStyle w:val="FirstParagraph"/>
      </w:pPr>
      <w:r>
        <w:t xml:space="preserve">Konversi menjadi masuk akal ketika kondisi yang tadi menghambat berbalik menjadi mendukung: pemakaian harian tinggi dan konsisten, basis operasi di kota dengan SPBG terdekat, kendaraan sehat dan di luar masa garansi, serta ruang tabung tersedia. Jika tiga sampai empat kondisi terpenuhi, penghematan kemungkinan besar menutup biaya</w:t>
      </w:r>
      <w:r>
        <w:t xml:space="preserve"> </w:t>
      </w:r>
      <w:r>
        <w:rPr>
          <w:i/>
          <w:iCs/>
        </w:rPr>
        <w:t xml:space="preserve">converter kit</w:t>
      </w:r>
      <w:r>
        <w:t xml:space="preserve"> </w:t>
      </w:r>
      <w:r>
        <w:t xml:space="preserve">dengan cepat.</w:t>
      </w:r>
    </w:p>
    <w:p>
      <w:pPr>
        <w:pStyle w:val="BodyText"/>
      </w:pPr>
      <w:r>
        <w:t xml:space="preserve">Untuk pemakaian sangat tinggi, hitungannya bisa agresif. Pada ilustrasi pasar untuk sopir 300 km/hari, penghematan dapat mencapai sekitar Rp 165.000 per hari, sehingga</w:t>
      </w:r>
      <w:r>
        <w:t xml:space="preserve"> </w:t>
      </w:r>
      <w:r>
        <w:rPr>
          <w:i/>
          <w:iCs/>
        </w:rPr>
        <w:t xml:space="preserve">converter kit</w:t>
      </w:r>
      <w:r>
        <w:t xml:space="preserve"> </w:t>
      </w:r>
      <w:r>
        <w:t xml:space="preserve">berkisar Rp 15 juta berpotensi balik modal dalam beberapa bulan. Ini ilustrasi, bukan jaminan; besarannya bergantung pada harga bahan bakar dan pemakaian aktual Anda. Sebagai catatan, PGN Gagas tengah mengajukan skema cicilan</w:t>
      </w:r>
      <w:r>
        <w:t xml:space="preserve"> </w:t>
      </w:r>
      <w:r>
        <w:rPr>
          <w:i/>
          <w:iCs/>
        </w:rPr>
        <w:t xml:space="preserve">converter kit</w:t>
      </w:r>
      <w:r>
        <w:t xml:space="preserve"> </w:t>
      </w:r>
      <w:r>
        <w:t xml:space="preserve">sekitar Rp 2.000 per hari ke Kementerian ESDM (ANTARA, Juli 2025), namun ini masih berstatus penjajakan, belum menjadi program yang bisa diakses sekarang.</w:t>
      </w:r>
    </w:p>
    <w:p>
      <w:pPr>
        <w:pStyle w:val="BodyText"/>
      </w:pPr>
      <w:r>
        <w:t xml:space="preserve">Ambang praktisnya sederhana: hitung ulang payback dengan pola pemakaian nyata Anda. Jika kebutuhan Anda justru ada di sisi industri atau komersial, bukan transportasi jalan,</w:t>
      </w:r>
      <w:r>
        <w:t xml:space="preserve"> </w:t>
      </w:r>
      <w:hyperlink r:id="rId22">
        <w:r>
          <w:rPr>
            <w:rStyle w:val="Hyperlink"/>
          </w:rPr>
          <w:t xml:space="preserve">Gaslink untuk industri dan komersial</w:t>
        </w:r>
      </w:hyperlink>
      <w:r>
        <w:t xml:space="preserve"> </w:t>
      </w:r>
      <w:r>
        <w:t xml:space="preserve">memanfaatkan</w:t>
      </w:r>
      <w:r>
        <w:t xml:space="preserve"> </w:t>
      </w:r>
      <w:hyperlink r:id="rId23">
        <w:r>
          <w:rPr>
            <w:rStyle w:val="Hyperlink"/>
          </w:rPr>
          <w:t xml:space="preserve">Compressed Natural Gas (CNG)</w:t>
        </w:r>
      </w:hyperlink>
      <w:r>
        <w:t xml:space="preserve"> </w:t>
      </w:r>
      <w:r>
        <w:t xml:space="preserve">yang sama untuk</w:t>
      </w:r>
      <w:r>
        <w:t xml:space="preserve"> </w:t>
      </w:r>
      <w:r>
        <w:rPr>
          <w:i/>
          <w:iCs/>
        </w:rPr>
        <w:t xml:space="preserve">boiler</w:t>
      </w:r>
      <w:r>
        <w:t xml:space="preserve">, dapur, dan oven.</w:t>
      </w:r>
    </w:p>
    <w:bookmarkEnd w:id="24"/>
    <w:bookmarkStart w:id="31" w:name="faq-pertanyaan-yang-sering-diajukan"/>
    <w:p>
      <w:pPr>
        <w:pStyle w:val="Heading2"/>
      </w:pPr>
      <w:r>
        <w:t xml:space="preserve">FAQ (Pertanyaan yang Sering Diajukan)</w:t>
      </w:r>
    </w:p>
    <w:bookmarkStart w:id="25" w:name="X9e13fad6b23e3330e1cd47d3461d886ff5d8be6"/>
    <w:p>
      <w:pPr>
        <w:pStyle w:val="Heading3"/>
      </w:pPr>
      <w:r>
        <w:t xml:space="preserve">Kapan sebaiknya saya BELUM mengonversi kendaraan ke BBG?</w:t>
      </w:r>
    </w:p>
    <w:p>
      <w:pPr>
        <w:pStyle w:val="FirstParagraph"/>
      </w:pPr>
      <w:r>
        <w:t xml:space="preserve">Tunda jika kendaraan Anda memenuhi satu atau lebih kondisi: pemakaian harian rendah (di bawah sekitar 80–100 km/hari) sehingga penghematan tak menutup biaya</w:t>
      </w:r>
      <w:r>
        <w:t xml:space="preserve"> </w:t>
      </w:r>
      <w:r>
        <w:rPr>
          <w:i/>
          <w:iCs/>
        </w:rPr>
        <w:t xml:space="preserve">converter kit</w:t>
      </w:r>
      <w:r>
        <w:t xml:space="preserve"> </w:t>
      </w:r>
      <w:r>
        <w:t xml:space="preserve">Rp 14–25 juta; rute jauh dari SPBG; masih bergaransi pabrikan; mesin kurang prima; atau butuh kapasitas bagasi penuh.</w:t>
      </w:r>
    </w:p>
    <w:bookmarkEnd w:id="25"/>
    <w:bookmarkStart w:id="26" w:name="X2e49f299225be1821ec1a678677da5fa78d4e4a"/>
    <w:p>
      <w:pPr>
        <w:pStyle w:val="Heading3"/>
      </w:pPr>
      <w:r>
        <w:t xml:space="preserve">Apakah tenaga mesin benar-benar berkurang dengan BBG, berapa banyak?</w:t>
      </w:r>
    </w:p>
    <w:p>
      <w:pPr>
        <w:pStyle w:val="FirstParagraph"/>
      </w:pPr>
      <w:r>
        <w:t xml:space="preserve">Ya, ini trade-off nyata. Retrofit BBG umumnya menurunkan tenaga sekitar 10–15% pada kondisi normal, dan bisa mencapai sekitar 20% saat beban penuh (tinjauan sistematis ScienceDirect, 2026). Sebagai ilustrasi, Honda City turun dari 120 PS ke 102 PS. Angkanya bervariasi menurut kendaraan dan beban, paling terasa saat muatan berat atau menanjak.</w:t>
      </w:r>
    </w:p>
    <w:bookmarkEnd w:id="26"/>
    <w:bookmarkStart w:id="27" w:name="Xf6883d8d571e6ec50b4715cd3eb073128269c10"/>
    <w:p>
      <w:pPr>
        <w:pStyle w:val="Heading3"/>
      </w:pPr>
      <w:r>
        <w:t xml:space="preserve">Apakah konversi membatalkan garansi pabrikan?</w:t>
      </w:r>
    </w:p>
    <w:p>
      <w:pPr>
        <w:pStyle w:val="FirstParagraph"/>
      </w:pPr>
      <w:r>
        <w:t xml:space="preserve">Risikonya nyata, tetapi bukan kepastian untuk semua merek. Konversi mengubah sistem bahan bakar sehingga berpotensi membatalkan garansi. Kebijakan tiap pabrikan berbeda; ada yang membatalkan, ada yang hanya membatasi cakupan. Sebelum konversi, konfirmasikan langsung ke diler atau pabrikan.</w:t>
      </w:r>
    </w:p>
    <w:bookmarkEnd w:id="27"/>
    <w:bookmarkStart w:id="28" w:name="Xc73c1c119189570892c83c4f81500366987c931"/>
    <w:p>
      <w:pPr>
        <w:pStyle w:val="Heading3"/>
      </w:pPr>
      <w:r>
        <w:t xml:space="preserve">Apakah BBG aman, benarkah tabungnya bisa meledak?</w:t>
      </w:r>
    </w:p>
    <w:p>
      <w:pPr>
        <w:pStyle w:val="FirstParagraph"/>
      </w:pPr>
      <w:r>
        <w:t xml:space="preserve">Kekhawatiran ini berlebihan jika instalasi sesuai standar. CNG butuh suhu nyala sekitar 540°C, jauh di atas bensin (~250°C), dan lebih ringan dari udara sehingga saat bocor langsung naik. Tabung lolos uji</w:t>
      </w:r>
      <w:r>
        <w:t xml:space="preserve"> </w:t>
      </w:r>
      <w:r>
        <w:rPr>
          <w:i/>
          <w:iCs/>
        </w:rPr>
        <w:t xml:space="preserve">impact</w:t>
      </w:r>
      <w:r>
        <w:t xml:space="preserve">,</w:t>
      </w:r>
      <w:r>
        <w:t xml:space="preserve"> </w:t>
      </w:r>
      <w:r>
        <w:rPr>
          <w:i/>
          <w:iCs/>
        </w:rPr>
        <w:t xml:space="preserve">bonfire</w:t>
      </w:r>
      <w:r>
        <w:t xml:space="preserve">, dan</w:t>
      </w:r>
      <w:r>
        <w:t xml:space="preserve"> </w:t>
      </w:r>
      <w:r>
        <w:rPr>
          <w:i/>
          <w:iCs/>
        </w:rPr>
        <w:t xml:space="preserve">gunfire</w:t>
      </w:r>
      <w:r>
        <w:t xml:space="preserve">, serta dilengkapi katup penutup otomatis. Risiko tergolong rendah menurut Journal of Safety Science and Resilience (2024, via solarindustri.com).</w:t>
      </w:r>
    </w:p>
    <w:bookmarkEnd w:id="28"/>
    <w:bookmarkStart w:id="29" w:name="Xfda6e719bf6077120a4e7ccb2437c74a64ad254"/>
    <w:p>
      <w:pPr>
        <w:pStyle w:val="Heading3"/>
      </w:pPr>
      <w:r>
        <w:t xml:space="preserve">Bagaimana jika di kota atau rute saya belum ada SPBG?</w:t>
      </w:r>
    </w:p>
    <w:p>
      <w:pPr>
        <w:pStyle w:val="FirstParagraph"/>
      </w:pPr>
      <w:r>
        <w:t xml:space="preserve">Inilah hambatan paling praktis. Per November 2025 tercatat 14 SPBG di 7 provinsi (CNBC Indonesia, 2025), terkonsentrasi di Jabodetabek dan beberapa kota besar. Sistem bi-fuel memang bisa beralih ke bensin, tetapi jika Anda sering terpaksa memakainya, manfaat ekonomi BBG hilang. Cek dulu ketersediaan SPBG di rute Anda.</w:t>
      </w:r>
    </w:p>
    <w:bookmarkEnd w:id="29"/>
    <w:bookmarkStart w:id="30" w:name="X9e79320c551c6e9373477c01f9378fc43b57d0c"/>
    <w:p>
      <w:pPr>
        <w:pStyle w:val="Heading3"/>
      </w:pPr>
      <w:r>
        <w:t xml:space="preserve">Pada kondisi apa konversi ke BBG justru sangat menguntungkan?</w:t>
      </w:r>
    </w:p>
    <w:p>
      <w:pPr>
        <w:pStyle w:val="FirstParagraph"/>
      </w:pPr>
      <w:r>
        <w:t xml:space="preserve">BBG paling menguntungkan jika: pemakaian harian tinggi dan konsisten (sekitar 100–150 km/hari); basis operasi di kota dengan SPBG terdekat; kendaraan relatif baru, mesin prima, dan garansi sudah habis; serta tidak butuh bagasi penuh. Jika tiga dari empat terpenuhi, hitung ulang payback-nya.</w:t>
      </w:r>
    </w:p>
    <w:bookmarkEnd w:id="30"/>
    <w:bookmarkEnd w:id="31"/>
    <w:bookmarkStart w:id="32" w:name="kesimpulan"/>
    <w:p>
      <w:pPr>
        <w:pStyle w:val="Heading2"/>
      </w:pPr>
      <w:r>
        <w:t xml:space="preserve">Kesimpulan</w:t>
      </w:r>
    </w:p>
    <w:p>
      <w:pPr>
        <w:pStyle w:val="FirstParagraph"/>
      </w:pPr>
      <w:r>
        <w:t xml:space="preserve">Keputusan beralih ke BBG sebaiknya kembali ke pertanyaan awal: apakah pola pakai dan rute</w:t>
      </w:r>
      <w:r>
        <w:t xml:space="preserve"> </w:t>
      </w:r>
      <w:r>
        <w:rPr>
          <w:i/>
          <w:iCs/>
        </w:rPr>
        <w:t xml:space="preserve">kendaraan saya</w:t>
      </w:r>
      <w:r>
        <w:t xml:space="preserve"> </w:t>
      </w:r>
      <w:r>
        <w:t xml:space="preserve">cocok. Lima faktor menentukan jawabannya, dan untuk sebagian kendaraan menunda adalah keputusan yang benar. Tetapi bila pemakaian tinggi dan konsisten, kendaraan sehat di luar garansi, serta beroperasi di kota ber-SPBG, konversi justru bisa sangat masuk akal. Di titik itulah Gasku, layanan BBG transportasi PGN Gagas yang didukung jaringan SPBG, layak dipertimbangkan: gas bumi adalah energi transisi yang lebih bersih dan hemat, sepanjang dipasangkan dengan profil pemakaian yang tepat.</w:t>
      </w:r>
    </w:p>
    <w:p>
      <w:pPr>
        <w:pStyle w:val="BodyText"/>
      </w:pPr>
      <w:r>
        <w:t xml:space="preserve">Untuk menilai apakah kendaraan atau armada Anda sudah cocok beralih ke BBG dan memetakan ketersediaan SPBG di rute Anda,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2" Target="https://gagas.co.id/gaslink/" TargetMode="External" /><Relationship Type="http://schemas.openxmlformats.org/officeDocument/2006/relationships/hyperlink" Id="rId23"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2" Target="https://gagas.co.id/gaslink/" TargetMode="External" /><Relationship Type="http://schemas.openxmlformats.org/officeDocument/2006/relationships/hyperlink" Id="rId23"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2026-06-09T05:32:27Z</dcterms:created>
  <dcterms:modified xsi:type="dcterms:W3CDTF">2026-06-09T05:32:27Z</dcterms:modified>
</cp:coreProperties>
</file>

<file path=docProps/custom.xml><?xml version="1.0" encoding="utf-8"?>
<Properties xmlns="http://schemas.openxmlformats.org/officeDocument/2006/custom-properties" xmlns:vt="http://schemas.openxmlformats.org/officeDocument/2006/docPropsVTypes"/>
</file>