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"Keamanan &amp; Keandalan Pasokan CNG: Yang Wajib Dijamin Penyedia"</w:t>
      </w:r>
      <w:r>
        <w:br/>
      </w:r>
      <w:r>
        <w:rPr>
          <w:rStyle w:val="FunctionTok"/>
        </w:rPr>
        <w:t xml:space="preserve">meta_title</w:t>
      </w:r>
      <w:r>
        <w:rPr>
          <w:rStyle w:val="KeywordTok"/>
        </w:rPr>
        <w:t xml:space="preserve">:</w:t>
      </w:r>
      <w:r>
        <w:rPr>
          <w:rStyle w:val="AttributeTok"/>
        </w:rPr>
        <w:t xml:space="preserve"> </w:t>
      </w:r>
      <w:r>
        <w:rPr>
          <w:rStyle w:val="StringTok"/>
        </w:rPr>
        <w:t xml:space="preserve">"Perusahaan CNG Indonesia: Jaminan Aman &amp; Andal"</w:t>
      </w:r>
      <w:r>
        <w:br/>
      </w:r>
      <w:r>
        <w:rPr>
          <w:rStyle w:val="FunctionTok"/>
        </w:rPr>
        <w:t xml:space="preserve">meta_description</w:t>
      </w:r>
      <w:r>
        <w:rPr>
          <w:rStyle w:val="KeywordTok"/>
        </w:rPr>
        <w:t xml:space="preserve">:</w:t>
      </w:r>
      <w:r>
        <w:rPr>
          <w:rStyle w:val="AttributeTok"/>
        </w:rPr>
        <w:t xml:space="preserve"> </w:t>
      </w:r>
      <w:r>
        <w:rPr>
          <w:rStyle w:val="StringTok"/>
        </w:rPr>
        <w:t xml:space="preserve">"Apa yang wajib dijamin perusahaan CNG Indonesia soal keamanan &amp; keandalan pasokan: standar, sertifikasi ISO 45001, security of supply, dan bukti yang diminta."</w:t>
      </w:r>
      <w:r>
        <w:br/>
      </w:r>
      <w:r>
        <w:rPr>
          <w:rStyle w:val="FunctionTok"/>
        </w:rPr>
        <w:t xml:space="preserve">slug</w:t>
      </w:r>
      <w:r>
        <w:rPr>
          <w:rStyle w:val="KeywordTok"/>
        </w:rPr>
        <w:t xml:space="preserve">:</w:t>
      </w:r>
      <w:r>
        <w:rPr>
          <w:rStyle w:val="AttributeTok"/>
        </w:rPr>
        <w:t xml:space="preserve"> </w:t>
      </w:r>
      <w:r>
        <w:rPr>
          <w:rStyle w:val="StringTok"/>
        </w:rPr>
        <w:t xml:space="preserve">"keamanan-keandalan-pasokan-cng"</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"Perusahaan CNG Indonesia"</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"keamanan CNG"</w:t>
      </w:r>
      <w:r>
        <w:br/>
      </w:r>
      <w:r>
        <w:rPr>
          <w:rStyle w:val="AttributeTok"/>
        </w:rPr>
        <w:t xml:space="preserve">  </w:t>
      </w:r>
      <w:r>
        <w:rPr>
          <w:rStyle w:val="KeywordTok"/>
        </w:rPr>
        <w:t xml:space="preserve">-</w:t>
      </w:r>
      <w:r>
        <w:rPr>
          <w:rStyle w:val="AttributeTok"/>
        </w:rPr>
        <w:t xml:space="preserve"> </w:t>
      </w:r>
      <w:r>
        <w:rPr>
          <w:rStyle w:val="StringTok"/>
        </w:rPr>
        <w:t xml:space="preserve">"keandalan pasokan (security of supply)"</w:t>
      </w:r>
      <w:r>
        <w:br/>
      </w:r>
      <w:r>
        <w:rPr>
          <w:rStyle w:val="AttributeTok"/>
        </w:rPr>
        <w:t xml:space="preserve">  </w:t>
      </w:r>
      <w:r>
        <w:rPr>
          <w:rStyle w:val="KeywordTok"/>
        </w:rPr>
        <w:t xml:space="preserve">-</w:t>
      </w:r>
      <w:r>
        <w:rPr>
          <w:rStyle w:val="AttributeTok"/>
        </w:rPr>
        <w:t xml:space="preserve"> </w:t>
      </w:r>
      <w:r>
        <w:rPr>
          <w:rStyle w:val="StringTok"/>
        </w:rPr>
        <w:t xml:space="preserve">"standar keselamatan CNG"</w:t>
      </w:r>
      <w:r>
        <w:br/>
      </w:r>
      <w:r>
        <w:rPr>
          <w:rStyle w:val="AttributeTok"/>
        </w:rPr>
        <w:t xml:space="preserve">  </w:t>
      </w:r>
      <w:r>
        <w:rPr>
          <w:rStyle w:val="KeywordTok"/>
        </w:rPr>
        <w:t xml:space="preserve">-</w:t>
      </w:r>
      <w:r>
        <w:rPr>
          <w:rStyle w:val="AttributeTok"/>
        </w:rPr>
        <w:t xml:space="preserve"> </w:t>
      </w:r>
      <w:r>
        <w:rPr>
          <w:rStyle w:val="StringTok"/>
        </w:rPr>
        <w:t xml:space="preserve">"sertifikasi ISO 45001"</w:t>
      </w:r>
      <w:r>
        <w:br/>
      </w:r>
      <w:r>
        <w:rPr>
          <w:rStyle w:val="AttributeTok"/>
        </w:rPr>
        <w:t xml:space="preserve">  </w:t>
      </w:r>
      <w:r>
        <w:rPr>
          <w:rStyle w:val="KeywordTok"/>
        </w:rPr>
        <w:t xml:space="preserve">-</w:t>
      </w:r>
      <w:r>
        <w:rPr>
          <w:rStyle w:val="AttributeTok"/>
        </w:rPr>
        <w:t xml:space="preserve"> </w:t>
      </w:r>
      <w:r>
        <w:rPr>
          <w:rStyle w:val="StringTok"/>
        </w:rPr>
        <w:t xml:space="preserve">"Permen ESDM 32/2021"</w:t>
      </w:r>
      <w:r>
        <w:br/>
      </w:r>
      <w:r>
        <w:rPr>
          <w:rStyle w:val="AttributeTok"/>
        </w:rPr>
        <w:t xml:space="preserve">  </w:t>
      </w:r>
      <w:r>
        <w:rPr>
          <w:rStyle w:val="KeywordTok"/>
        </w:rPr>
        <w:t xml:space="preserve">-</w:t>
      </w:r>
      <w:r>
        <w:rPr>
          <w:rStyle w:val="AttributeTok"/>
        </w:rPr>
        <w:t xml:space="preserve"> </w:t>
      </w:r>
      <w:r>
        <w:rPr>
          <w:rStyle w:val="StringTok"/>
        </w:rPr>
        <w:t xml:space="preserve">"ISO 11439 / ECE R110"</w:t>
      </w:r>
      <w:r>
        <w:br/>
      </w:r>
      <w:r>
        <w:rPr>
          <w:rStyle w:val="AttributeTok"/>
        </w:rPr>
        <w:t xml:space="preserve">  </w:t>
      </w:r>
      <w:r>
        <w:rPr>
          <w:rStyle w:val="KeywordTok"/>
        </w:rPr>
        <w:t xml:space="preserve">-</w:t>
      </w:r>
      <w:r>
        <w:rPr>
          <w:rStyle w:val="AttributeTok"/>
        </w:rPr>
        <w:t xml:space="preserve"> </w:t>
      </w:r>
      <w:r>
        <w:rPr>
          <w:rStyle w:val="StringTok"/>
        </w:rPr>
        <w:t xml:space="preserve">"kompetensi operator migas"</w:t>
      </w:r>
      <w:r>
        <w:br/>
      </w:r>
      <w:r>
        <w:rPr>
          <w:rStyle w:val="AttributeTok"/>
        </w:rPr>
        <w:t xml:space="preserve">  </w:t>
      </w:r>
      <w:r>
        <w:rPr>
          <w:rStyle w:val="KeywordTok"/>
        </w:rPr>
        <w:t xml:space="preserve">-</w:t>
      </w:r>
      <w:r>
        <w:rPr>
          <w:rStyle w:val="AttributeTok"/>
        </w:rPr>
        <w:t xml:space="preserve"> </w:t>
      </w:r>
      <w:r>
        <w:rPr>
          <w:rStyle w:val="StringTok"/>
        </w:rPr>
        <w:t xml:space="preserve">"mitigasi risiko kebocoran gas"</w:t>
      </w:r>
      <w:r>
        <w:br/>
      </w:r>
      <w:r>
        <w:rPr>
          <w:rStyle w:val="AttributeTok"/>
        </w:rPr>
        <w:t xml:space="preserve">  </w:t>
      </w:r>
      <w:r>
        <w:rPr>
          <w:rStyle w:val="KeywordTok"/>
        </w:rPr>
        <w:t xml:space="preserve">-</w:t>
      </w:r>
      <w:r>
        <w:rPr>
          <w:rStyle w:val="AttributeTok"/>
        </w:rPr>
        <w:t xml:space="preserve"> </w:t>
      </w:r>
      <w:r>
        <w:rPr>
          <w:rStyle w:val="StringTok"/>
        </w:rPr>
        <w:t xml:space="preserve">"Pressure Reduction Station (PRS)"</w:t>
      </w:r>
      <w:r>
        <w:br/>
      </w:r>
      <w:r>
        <w:rPr>
          <w:rStyle w:val="AttributeTok"/>
        </w:rPr>
        <w:t xml:space="preserve">  </w:t>
      </w:r>
      <w:r>
        <w:rPr>
          <w:rStyle w:val="KeywordTok"/>
        </w:rPr>
        <w:t xml:space="preserve">-</w:t>
      </w:r>
      <w:r>
        <w:rPr>
          <w:rStyle w:val="AttributeTok"/>
        </w:rPr>
        <w:t xml:space="preserve"> </w:t>
      </w:r>
      <w:r>
        <w:rPr>
          <w:rStyle w:val="StringTok"/>
        </w:rPr>
        <w:t xml:space="preserve">"telemetri pemantauan tekanan"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"perusahaan CNG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"pasokan Gaslink untuk industri"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"https://gagas.co.id/perusahaan-lng-indonesia/"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LNG"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"https://migas.esdm.go.id/post/read/sosialisasi-permen-esdm-32-tahun-2021-simplifikasi-regulasi-inspeksi-teknis-dan-pemeriksaan-keselamatan-instalasi-migas"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"Permen ESDM 32/2021 mewajibkan inspeksi keselamatan instalasi &amp; peralatan migas, termasuk distribusi"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"https://www.cnbcindonesia.com/news/20260519185705-4-736079/gas-cng-lebih-aman-dari-lpg-ini-penjelasan-lengkap-dirjen-migas"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"Dirjen Migas Laode Sulaeman: risiko kebakaran CNG relatif lebih rendah dari LPG, dengan catatan instalasi benar"</w:t>
      </w:r>
      <w:r>
        <w:br/>
      </w:r>
      <w:r>
        <w:rPr>
          <w:rStyle w:val="FunctionTok"/>
        </w:rPr>
        <w:t xml:space="preserve">brief_id</w:t>
      </w:r>
      <w:r>
        <w:rPr>
          <w:rStyle w:val="KeywordTok"/>
        </w:rPr>
        <w:t xml:space="preserve">:</w:t>
      </w:r>
      <w:r>
        <w:rPr>
          <w:rStyle w:val="AttributeTok"/>
        </w:rPr>
        <w:t xml:space="preserve"> </w:t>
      </w:r>
      <w:r>
        <w:rPr>
          <w:rStyle w:val="StringTok"/>
        </w:rPr>
        <w:t xml:space="preserve">"perusahaan-cng-indonesia-04"</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"2026-06-09"</w:t>
      </w:r>
      <w:r>
        <w:br/>
      </w:r>
      <w:r>
        <w:rPr>
          <w:rStyle w:val="FunctionTok"/>
        </w:rPr>
        <w:t xml:space="preserve">word_count</w:t>
      </w:r>
      <w:r>
        <w:rPr>
          <w:rStyle w:val="KeywordTok"/>
        </w:rPr>
        <w:t xml:space="preserve">:</w:t>
      </w:r>
      <w:r>
        <w:rPr>
          <w:rStyle w:val="AttributeTok"/>
        </w:rPr>
        <w:t xml:space="preserve"> </w:t>
      </w:r>
      <w:r>
        <w:rPr>
          <w:rStyle w:val="DecValTok"/>
        </w:rPr>
        <w:t xml:space="preserve">1579</w:t>
      </w:r>
    </w:p>
    <w:p>
      <w:r>
        <w:pict>
          <v:rect style="width:0;height:1.5pt" o:hralign="center" o:hrstd="t" o:hr="t"/>
        </w:pict>
      </w:r>
    </w:p>
    <w:bookmarkEnd w:id="16"/>
    <w:bookmarkStart w:id="33" w:name="X3c3bd322f840012c9c191764ed1506790d2a396"/>
    <w:p>
      <w:pPr>
        <w:pStyle w:val="Heading1"/>
      </w:pPr>
      <w:r>
        <w:t xml:space="preserve">Keamanan &amp; Keandalan Pasokan CNG: Yang Wajib Dijamin Penyedia</w:t>
      </w:r>
    </w:p>
    <w:p>
      <w:pPr>
        <w:pStyle w:val="FirstParagraph"/>
      </w:pPr>
      <w:r>
        <w:t xml:space="preserve">Bagi pabrik yang</w:t>
      </w:r>
      <w:r>
        <w:t xml:space="preserve"> </w:t>
      </w:r>
      <w:r>
        <w:rPr>
          <w:i/>
          <w:iCs/>
        </w:rPr>
        <w:t xml:space="preserve">boiler</w:t>
      </w:r>
      <w:r>
        <w:t xml:space="preserve">-nya tak boleh dingin atau rumah sakit yang dapurnya menyala 24 jam, ada dua hal yang lebih menakutkan daripada tagihan energi: pasokan yang berhenti di tengah produksi, dan insiden keselamatan di lokasi. Saat memilih</w:t>
      </w:r>
      <w:r>
        <w:t xml:space="preserve"> </w:t>
      </w:r>
      <w:hyperlink r:id="rId17">
        <w:r>
          <w:rPr>
            <w:rStyle w:val="Hyperlink"/>
          </w:rPr>
          <w:t xml:space="preserve">perusahaan CNG Indonesia</w:t>
        </w:r>
      </w:hyperlink>
      <w:r>
        <w:t xml:space="preserve">, pertanyaan yang sebenarnya bukan</w:t>
      </w:r>
      <w:r>
        <w:t xml:space="preserve"> </w:t>
      </w:r>
      <w:r>
        <w:t xml:space="preserve">“apakah CNG hemat”</w:t>
      </w:r>
      <w:r>
        <w:t xml:space="preserve">, melainkan</w:t>
      </w:r>
      <w:r>
        <w:t xml:space="preserve"> </w:t>
      </w:r>
      <w:r>
        <w:t xml:space="preserve">“apakah pasokannya tidak akan putus, dan apakah ini aman di tempat saya?”</w:t>
      </w:r>
      <w:r>
        <w:t xml:space="preserve">. Artikel ini menerjemahkan dua kata yang sering jadi jargon brosur,</w:t>
      </w:r>
      <w:r>
        <w:t xml:space="preserve"> </w:t>
      </w:r>
      <w:r>
        <w:rPr>
          <w:i/>
          <w:iCs/>
        </w:rPr>
        <w:t xml:space="preserve">aman</w:t>
      </w:r>
      <w:r>
        <w:t xml:space="preserve"> </w:t>
      </w:r>
      <w:r>
        <w:t xml:space="preserve">dan</w:t>
      </w:r>
      <w:r>
        <w:t xml:space="preserve"> </w:t>
      </w:r>
      <w:r>
        <w:rPr>
          <w:i/>
          <w:iCs/>
        </w:rPr>
        <w:t xml:space="preserve">andal</w:t>
      </w:r>
      <w:r>
        <w:t xml:space="preserve">, menjadi daftar jaminan konkret yang berhak Anda minta, lengkap dengan bukti yang patut ditanyakan.</w:t>
      </w:r>
    </w:p>
    <w:p>
      <w:pPr>
        <w:pStyle w:val="BlockText"/>
      </w:pPr>
      <w:r>
        <w:rPr>
          <w:b/>
          <w:bCs/>
        </w:rPr>
        <w:t xml:space="preserve">Secara singkat:</w:t>
      </w:r>
      <w:r>
        <w:t xml:space="preserve"> </w:t>
      </w:r>
      <w:r>
        <w:t xml:space="preserve">Keandalan pasokan CNG (</w:t>
      </w:r>
      <w:r>
        <w:rPr>
          <w:i/>
          <w:iCs/>
        </w:rPr>
        <w:t xml:space="preserve">security of supply</w:t>
      </w:r>
      <w:r>
        <w:t xml:space="preserve">) adalah jaminan bahwa gas bumi terkompresi terus tersedia di lokasi pelanggan tanpa gangguan. Pencapaiannya bertumpu pada kombinasi kapasitas Mother Station yang memadai, armada Gas Transport Module (GTM) dengan rencana cadangan, pemantauan tekanan secara</w:t>
      </w:r>
      <w:r>
        <w:t xml:space="preserve"> </w:t>
      </w:r>
      <w:r>
        <w:rPr>
          <w:i/>
          <w:iCs/>
        </w:rPr>
        <w:t xml:space="preserve">real-time</w:t>
      </w:r>
      <w:r>
        <w:t xml:space="preserve">, dan dukungan ekosistem rantai pasok gas bumi dari hulu ke hilir.</w:t>
      </w:r>
    </w:p>
    <w:p>
      <w:pPr>
        <w:pStyle w:val="FirstParagraph"/>
      </w:pPr>
      <w:r>
        <w:rPr>
          <w:i/>
          <w:iCs/>
        </w:rPr>
        <w:t xml:space="preserve">[Image 01: Infografik dua kolom berjudul</w:t>
      </w:r>
      <w:r>
        <w:rPr>
          <w:i/>
          <w:iCs/>
        </w:rPr>
        <w:t xml:space="preserve"> </w:t>
      </w:r>
      <w:r>
        <w:rPr>
          <w:i/>
          <w:iCs/>
        </w:rPr>
        <w:t xml:space="preserve">“Dua Dimensi Jaminan Penyedia CNG”</w:t>
      </w:r>
      <w:r>
        <w:rPr>
          <w:i/>
          <w:iCs/>
        </w:rPr>
        <w:t xml:space="preserve"> </w:t>
      </w:r>
      <w:r>
        <w:rPr>
          <w:i/>
          <w:iCs/>
        </w:rPr>
        <w:t xml:space="preserve">— kolom kiri</w:t>
      </w:r>
      <w:r>
        <w:rPr>
          <w:i/>
          <w:iCs/>
        </w:rPr>
        <w:t xml:space="preserve"> </w:t>
      </w:r>
      <w:r>
        <w:rPr>
          <w:i/>
          <w:iCs/>
        </w:rPr>
        <w:t xml:space="preserve">“Keselamatan”</w:t>
      </w:r>
      <w:r>
        <w:rPr>
          <w:i/>
          <w:iCs/>
        </w:rPr>
        <w:t xml:space="preserve"> </w:t>
      </w:r>
      <w:r>
        <w:rPr>
          <w:i/>
          <w:iCs/>
        </w:rPr>
        <w:t xml:space="preserve">(ikon helm K3, sertifikat, detektor gas) dan kolom kanan</w:t>
      </w:r>
      <w:r>
        <w:rPr>
          <w:i/>
          <w:iCs/>
        </w:rPr>
        <w:t xml:space="preserve"> </w:t>
      </w:r>
      <w:r>
        <w:rPr>
          <w:i/>
          <w:iCs/>
        </w:rPr>
        <w:t xml:space="preserve">“Keandalan Pasokan / Security of Supply”</w:t>
      </w:r>
      <w:r>
        <w:rPr>
          <w:i/>
          <w:iCs/>
        </w:rPr>
        <w:t xml:space="preserve"> </w:t>
      </w:r>
      <w:r>
        <w:rPr>
          <w:i/>
          <w:iCs/>
        </w:rPr>
        <w:t xml:space="preserve">(ikon Mother Station, truk GTM, grafik tekanan real-time). Tiap kolom memuat 3 poin singkat berbahasa Indonesia. Gaya flat infographic korporat B2B, palet hijau-biru energi bersih, format horizontal landscape.]</w:t>
      </w:r>
    </w:p>
    <w:bookmarkStart w:id="18" w:name="Xd5fc13ff4bdc85f2fffd1bc034dcfc44d7116b5"/>
    <w:p>
      <w:pPr>
        <w:pStyle w:val="Heading2"/>
      </w:pPr>
      <w:r>
        <w:t xml:space="preserve">Apa Arti</w:t>
      </w:r>
      <w:r>
        <w:t xml:space="preserve"> </w:t>
      </w:r>
      <w:r>
        <w:t xml:space="preserve">“Aman”</w:t>
      </w:r>
      <w:r>
        <w:t xml:space="preserve"> </w:t>
      </w:r>
      <w:r>
        <w:t xml:space="preserve">dan</w:t>
      </w:r>
      <w:r>
        <w:t xml:space="preserve"> </w:t>
      </w:r>
      <w:r>
        <w:t xml:space="preserve">“Andal”</w:t>
      </w:r>
      <w:r>
        <w:t xml:space="preserve"> </w:t>
      </w:r>
      <w:r>
        <w:t xml:space="preserve">Saat Bicara Pasokan CNG?</w:t>
      </w:r>
    </w:p>
    <w:p>
      <w:pPr>
        <w:pStyle w:val="FirstParagraph"/>
      </w:pPr>
      <w:r>
        <w:t xml:space="preserve">“Aman”</w:t>
      </w:r>
      <w:r>
        <w:t xml:space="preserve"> </w:t>
      </w:r>
      <w:r>
        <w:t xml:space="preserve">dan</w:t>
      </w:r>
      <w:r>
        <w:t xml:space="preserve"> </w:t>
      </w:r>
      <w:r>
        <w:t xml:space="preserve">“andal”</w:t>
      </w:r>
      <w:r>
        <w:t xml:space="preserve"> </w:t>
      </w:r>
      <w:r>
        <w:t xml:space="preserve">adalah dua janji terpisah yang sering keliru disatukan.</w:t>
      </w:r>
      <w:r>
        <w:t xml:space="preserve"> </w:t>
      </w:r>
      <w:r>
        <w:rPr>
          <w:b/>
          <w:bCs/>
        </w:rPr>
        <w:t xml:space="preserve">Keselamatan</w:t>
      </w:r>
      <w:r>
        <w:t xml:space="preserve"> </w:t>
      </w:r>
      <w:r>
        <w:t xml:space="preserve">menyangkut pencegahan insiden (kebocoran, tekanan berlebih, kebakaran) melalui standar instalasi, sertifikasi, dan kompetensi operator.</w:t>
      </w:r>
      <w:r>
        <w:t xml:space="preserve"> </w:t>
      </w:r>
      <w:r>
        <w:rPr>
          <w:b/>
          <w:bCs/>
        </w:rPr>
        <w:t xml:space="preserve">Keandalan</w:t>
      </w:r>
      <w:r>
        <w:t xml:space="preserve"> </w:t>
      </w:r>
      <w:r>
        <w:t xml:space="preserve">menyangkut pencegahan pasokan putus: sumber gas, kapasitas, redundansi armada, dan respons saat ada gangguan. Penyedia bisa unggul di satu sisi tetapi lemah di sisi lain.</w:t>
      </w:r>
    </w:p>
    <w:p>
      <w:pPr>
        <w:pStyle w:val="BodyText"/>
      </w:pPr>
      <w:r>
        <w:t xml:space="preserve">Membedakan keduanya penting karena buktinya berbeda. Untuk keselamatan, Anda menuntut sertifikat dan laporan inspeksi; untuk keandalan, rencana cadangan dan</w:t>
      </w:r>
      <w:r>
        <w:t xml:space="preserve"> </w:t>
      </w:r>
      <w:r>
        <w:rPr>
          <w:i/>
          <w:iCs/>
        </w:rPr>
        <w:t xml:space="preserve">Service Level Agreement</w:t>
      </w:r>
      <w:r>
        <w:t xml:space="preserve"> </w:t>
      </w:r>
      <w:r>
        <w:t xml:space="preserve">(SLA, kesepakatan tingkat layanan) tertulis. Banyak ulasan berhenti pada pertanyaan</w:t>
      </w:r>
      <w:r>
        <w:t xml:space="preserve"> </w:t>
      </w:r>
      <w:r>
        <w:t xml:space="preserve">“apakah CNG aman”</w:t>
      </w:r>
      <w:r>
        <w:t xml:space="preserve"> </w:t>
      </w:r>
      <w:r>
        <w:t xml:space="preserve">sebagai produk. Yang jarang dijawab: apa yang sebenarnya</w:t>
      </w:r>
      <w:r>
        <w:t xml:space="preserve"> </w:t>
      </w:r>
      <w:r>
        <w:rPr>
          <w:i/>
          <w:iCs/>
        </w:rPr>
        <w:t xml:space="preserve">dijamin penyedia</w:t>
      </w:r>
      <w:r>
        <w:t xml:space="preserve">, dan bukti apa yang bisa Anda pegang.</w:t>
      </w:r>
    </w:p>
    <w:bookmarkEnd w:id="18"/>
    <w:bookmarkStart w:id="19" w:name="X7209e9ce2665825af9021cd6ae3a9df17b7b634"/>
    <w:p>
      <w:pPr>
        <w:pStyle w:val="Heading2"/>
      </w:pPr>
      <w:r>
        <w:t xml:space="preserve">Standar &amp; Sertifikasi Keselamatan yang Wajib Dipenuhi Penyedia CNG</w:t>
      </w:r>
    </w:p>
    <w:p>
      <w:pPr>
        <w:pStyle w:val="FirstParagraph"/>
      </w:pPr>
      <w:r>
        <w:t xml:space="preserve">Untuk menilai keselamatan layanan distribusi CNG ke lokasi industri, tiga acuan yang relevan adalah</w:t>
      </w:r>
      <w:r>
        <w:t xml:space="preserve"> </w:t>
      </w:r>
      <w:r>
        <w:rPr>
          <w:b/>
          <w:bCs/>
        </w:rPr>
        <w:t xml:space="preserve">Permen ESDM No. 32/2021</w:t>
      </w:r>
      <w:r>
        <w:t xml:space="preserve"> </w:t>
      </w:r>
      <w:r>
        <w:t xml:space="preserve">(inspeksi teknis instalasi migas),</w:t>
      </w:r>
      <w:r>
        <w:t xml:space="preserve"> </w:t>
      </w:r>
      <w:r>
        <w:rPr>
          <w:b/>
          <w:bCs/>
        </w:rPr>
        <w:t xml:space="preserve">Kepmen ESDM 176.K/2024</w:t>
      </w:r>
      <w:r>
        <w:t xml:space="preserve"> </w:t>
      </w:r>
      <w:r>
        <w:t xml:space="preserve">tentang Sistem Manajemen Keselamatan Migas (SMKM, berlaku 25 Januari 2025), dan</w:t>
      </w:r>
      <w:r>
        <w:t xml:space="preserve"> </w:t>
      </w:r>
      <w:r>
        <w:rPr>
          <w:b/>
          <w:bCs/>
        </w:rPr>
        <w:t xml:space="preserve">ISO 45001:2018</w:t>
      </w:r>
      <w:r>
        <w:t xml:space="preserve"> </w:t>
      </w:r>
      <w:r>
        <w:t xml:space="preserve">(manajemen K3 yang dapat diaudit pihak ketiga). Ini standar operasional penyedia, bukan standar tabung kendaraan.</w:t>
      </w:r>
    </w:p>
    <w:p>
      <w:pPr>
        <w:pStyle w:val="BodyText"/>
      </w:pPr>
      <w:r>
        <w:t xml:space="preserve">Pembedaan ini sering disalahpahami. Standar seperti</w:t>
      </w:r>
      <w:r>
        <w:t xml:space="preserve"> </w:t>
      </w:r>
      <w:r>
        <w:rPr>
          <w:b/>
          <w:bCs/>
        </w:rPr>
        <w:t xml:space="preserve">ISO 11439:2013</w:t>
      </w:r>
      <w:r>
        <w:t xml:space="preserve">,</w:t>
      </w:r>
      <w:r>
        <w:t xml:space="preserve"> </w:t>
      </w:r>
      <w:r>
        <w:rPr>
          <w:b/>
          <w:bCs/>
        </w:rPr>
        <w:t xml:space="preserve">ECE R110 (UN R110)</w:t>
      </w:r>
      <w:r>
        <w:t xml:space="preserve">, dan</w:t>
      </w:r>
      <w:r>
        <w:t xml:space="preserve"> </w:t>
      </w:r>
      <w:r>
        <w:rPr>
          <w:b/>
          <w:bCs/>
        </w:rPr>
        <w:t xml:space="preserve">SNI 7407:2009</w:t>
      </w:r>
      <w:r>
        <w:t xml:space="preserve"> </w:t>
      </w:r>
      <w:r>
        <w:t xml:space="preserve">memang melekat pada CNG, tetapi lingkupnya adalah</w:t>
      </w:r>
      <w:r>
        <w:t xml:space="preserve"> </w:t>
      </w:r>
      <w:r>
        <w:rPr>
          <w:b/>
          <w:bCs/>
        </w:rPr>
        <w:t xml:space="preserve">tabung dan komponen di kendaraan bermotor</w:t>
      </w:r>
      <w:r>
        <w:t xml:space="preserve">: silinder, katup, dan regulator pada armada GTM atau kendaraan berbahan bakar gas (UNECE, UN R110). Standar itu relevan saat menilai</w:t>
      </w:r>
      <w:r>
        <w:t xml:space="preserve"> </w:t>
      </w:r>
      <w:r>
        <w:rPr>
          <w:i/>
          <w:iCs/>
        </w:rPr>
        <w:t xml:space="preserve">kendaraan</w:t>
      </w:r>
      <w:r>
        <w:t xml:space="preserve"> </w:t>
      </w:r>
      <w:r>
        <w:t xml:space="preserve">penyedia, bukan keamanan operasional di pabrik Anda. Untuk yang terakhir, Permen ESDM 32/2021 mewajibkan setiap pemegang izin usaha migas menjamin keselamatan instalasinya lewat inspeksi teknis berkala (Kementerian ESDM, 2021).</w:t>
      </w:r>
    </w:p>
    <w:p>
      <w:pPr>
        <w:pStyle w:val="BodyText"/>
      </w:pPr>
      <w:r>
        <w:t xml:space="preserve">Tabel berikut memetakan keduanya beserta bukti yang berhak Anda minta.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 / Regulasi</w:t>
            </w:r>
          </w:p>
        </w:tc>
        <w:tc>
          <w:tcPr/>
          <w:p>
            <w:pPr>
              <w:pStyle w:val="Compact"/>
            </w:pPr>
            <w:r>
              <w:t xml:space="preserve">Lingkup (siapa yang diatur)</w:t>
            </w:r>
          </w:p>
        </w:tc>
        <w:tc>
          <w:tcPr/>
          <w:p>
            <w:pPr>
              <w:pStyle w:val="Compact"/>
            </w:pPr>
            <w:r>
              <w:t xml:space="preserve">Apa yang dijamin bagi pembeli</w:t>
            </w:r>
          </w:p>
        </w:tc>
        <w:tc>
          <w:tcPr/>
          <w:p>
            <w:pPr>
              <w:pStyle w:val="Compact"/>
            </w:pPr>
            <w:r>
              <w:t xml:space="preserve">Bukti yang dapat diminta</w:t>
            </w:r>
          </w:p>
        </w:tc>
      </w:tr>
      <w:tr>
        <w:tc>
          <w:tcPr/>
          <w:p>
            <w:pPr>
              <w:pStyle w:val="Compact"/>
            </w:pPr>
            <w:r>
              <w:rPr>
                <w:b/>
                <w:bCs/>
              </w:rPr>
              <w:t xml:space="preserve">Permen ESDM 32/2021</w:t>
            </w:r>
          </w:p>
        </w:tc>
        <w:tc>
          <w:tcPr/>
          <w:p>
            <w:pPr>
              <w:pStyle w:val="Compact"/>
            </w:pPr>
            <w:r>
              <w:t xml:space="preserve">Operasi distribusi (pemegang izin usaha migas)</w:t>
            </w:r>
          </w:p>
        </w:tc>
        <w:tc>
          <w:tcPr/>
          <w:p>
            <w:pPr>
              <w:pStyle w:val="Compact"/>
            </w:pPr>
            <w:r>
              <w:t xml:space="preserve">Instalasi &amp; peralatan diinspeksi teknis berkala sesuai regulasi</w:t>
            </w:r>
          </w:p>
        </w:tc>
        <w:tc>
          <w:tcPr/>
          <w:p>
            <w:pPr>
              <w:pStyle w:val="Compact"/>
            </w:pPr>
            <w:r>
              <w:t xml:space="preserve">Laporan pemeriksaan keselamatan instalasi yang valid</w:t>
            </w:r>
          </w:p>
        </w:tc>
      </w:tr>
      <w:tr>
        <w:tc>
          <w:tcPr/>
          <w:p>
            <w:pPr>
              <w:pStyle w:val="Compact"/>
            </w:pPr>
            <w:r>
              <w:rPr>
                <w:b/>
                <w:bCs/>
              </w:rPr>
              <w:t xml:space="preserve">Kepmen ESDM 176.K/2024 (SMKM)</w:t>
            </w:r>
          </w:p>
        </w:tc>
        <w:tc>
          <w:tcPr/>
          <w:p>
            <w:pPr>
              <w:pStyle w:val="Compact"/>
            </w:pPr>
            <w:r>
              <w:t xml:space="preserve">Operasi distribusi (berlaku Jan 2025)</w:t>
            </w:r>
          </w:p>
        </w:tc>
        <w:tc>
          <w:tcPr/>
          <w:p>
            <w:pPr>
              <w:pStyle w:val="Compact"/>
            </w:pPr>
            <w:r>
              <w:t xml:space="preserve">Sistem manajemen keselamatan migas yang dinilai (pekerja, instalasi, lingkungan, publik)</w:t>
            </w:r>
          </w:p>
        </w:tc>
        <w:tc>
          <w:tcPr/>
          <w:p>
            <w:pPr>
              <w:pStyle w:val="Compact"/>
            </w:pPr>
            <w:r>
              <w:t xml:space="preserve">Bukti penilaian /</w:t>
            </w:r>
            <w:r>
              <w:t xml:space="preserve"> </w:t>
            </w:r>
            <w:r>
              <w:rPr>
                <w:i/>
                <w:iCs/>
              </w:rPr>
              <w:t xml:space="preserve">self-assessment</w:t>
            </w:r>
            <w:r>
              <w:t xml:space="preserve"> </w:t>
            </w:r>
            <w:r>
              <w:t xml:space="preserve">SMKM yang dapat diaudit</w:t>
            </w:r>
          </w:p>
        </w:tc>
      </w:tr>
      <w:tr>
        <w:tc>
          <w:tcPr/>
          <w:p>
            <w:pPr>
              <w:pStyle w:val="Compact"/>
            </w:pPr>
            <w:r>
              <w:rPr>
                <w:b/>
                <w:bCs/>
              </w:rPr>
              <w:t xml:space="preserve">ISO 45001:2018</w:t>
            </w:r>
          </w:p>
        </w:tc>
        <w:tc>
          <w:tcPr/>
          <w:p>
            <w:pPr>
              <w:pStyle w:val="Compact"/>
            </w:pPr>
            <w:r>
              <w:t xml:space="preserve">Operasi distribusi (perusahaan penyedia)</w:t>
            </w:r>
          </w:p>
        </w:tc>
        <w:tc>
          <w:tcPr/>
          <w:p>
            <w:pPr>
              <w:pStyle w:val="Compact"/>
            </w:pPr>
            <w:r>
              <w:t xml:space="preserve">Manajemen K3 berstandar internasional, dapat diaudit</w:t>
            </w:r>
          </w:p>
        </w:tc>
        <w:tc>
          <w:tcPr/>
          <w:p>
            <w:pPr>
              <w:pStyle w:val="Compact"/>
            </w:pPr>
            <w:r>
              <w:t xml:space="preserve">Sertifikat dari lembaga terakreditasi KAN + nomor + masa berlaku</w:t>
            </w:r>
          </w:p>
        </w:tc>
      </w:tr>
      <w:tr>
        <w:tc>
          <w:tcPr/>
          <w:p>
            <w:pPr>
              <w:pStyle w:val="Compact"/>
            </w:pPr>
            <w:r>
              <w:rPr>
                <w:b/>
                <w:bCs/>
              </w:rPr>
              <w:t xml:space="preserve">ISO 11439 / ECE R110 / SNI 7407</w:t>
            </w:r>
          </w:p>
        </w:tc>
        <w:tc>
          <w:tcPr/>
          <w:p>
            <w:pPr>
              <w:pStyle w:val="Compact"/>
            </w:pPr>
            <w:r>
              <w:rPr>
                <w:i/>
                <w:iCs/>
              </w:rPr>
              <w:t xml:space="preserve">Peralatan kendaraan</w:t>
            </w:r>
            <w:r>
              <w:t xml:space="preserve"> </w:t>
            </w:r>
            <w:r>
              <w:t xml:space="preserve">(silinder &amp; komponen NGV)</w:t>
            </w:r>
          </w:p>
        </w:tc>
        <w:tc>
          <w:tcPr/>
          <w:p>
            <w:pPr>
              <w:pStyle w:val="Compact"/>
            </w:pPr>
            <w:r>
              <w:t xml:space="preserve">Tabung/komponen di kendaraan memenuhi uji desain ketat</w:t>
            </w:r>
          </w:p>
        </w:tc>
        <w:tc>
          <w:tcPr/>
          <w:p>
            <w:pPr>
              <w:pStyle w:val="Compact"/>
            </w:pPr>
            <w:r>
              <w:rPr>
                <w:i/>
                <w:iCs/>
              </w:rPr>
              <w:t xml:space="preserve">Konteks kendaraan, bukan untuk menilai layanan distribusi</w:t>
            </w:r>
          </w:p>
        </w:tc>
      </w:tr>
    </w:tbl>
    <w:p>
      <w:pPr>
        <w:pStyle w:val="BodyText"/>
      </w:pPr>
      <w:r>
        <w:t xml:space="preserve">Sebagai contoh konkret, PGN Gagas memegang ISO 45001:2018 khusus layanan distribusi CNG (2025), jenis bukti pada kolom ketiga yang nomor dan masa berlakunya wajar Anda minta dari penyedia mana pun.</w:t>
      </w:r>
    </w:p>
    <w:p>
      <w:pPr>
        <w:pStyle w:val="BodyText"/>
      </w:pPr>
      <w:r>
        <w:rPr>
          <w:i/>
          <w:iCs/>
        </w:rPr>
        <w:t xml:space="preserve">[Image 02: Diagram matriks tiga kolom membandingkan</w:t>
      </w:r>
      <w:r>
        <w:rPr>
          <w:i/>
          <w:iCs/>
        </w:rPr>
        <w:t xml:space="preserve"> </w:t>
      </w:r>
      <w:r>
        <w:rPr>
          <w:i/>
          <w:iCs/>
        </w:rPr>
        <w:t xml:space="preserve">“Standar Operasi Distribusi”</w:t>
      </w:r>
      <w:r>
        <w:rPr>
          <w:i/>
          <w:iCs/>
        </w:rPr>
        <w:t xml:space="preserve"> </w:t>
      </w:r>
      <w:r>
        <w:rPr>
          <w:i/>
          <w:iCs/>
        </w:rPr>
        <w:t xml:space="preserve">(ISO 45001, Permen ESDM 32/2021, Kepmen ESDM 176/2024) versus</w:t>
      </w:r>
      <w:r>
        <w:rPr>
          <w:i/>
          <w:iCs/>
        </w:rPr>
        <w:t xml:space="preserve"> </w:t>
      </w:r>
      <w:r>
        <w:rPr>
          <w:i/>
          <w:iCs/>
        </w:rPr>
        <w:t xml:space="preserve">“Standar Peralatan Kendaraan”</w:t>
      </w:r>
      <w:r>
        <w:rPr>
          <w:i/>
          <w:iCs/>
        </w:rPr>
        <w:t xml:space="preserve"> </w:t>
      </w:r>
      <w:r>
        <w:rPr>
          <w:i/>
          <w:iCs/>
        </w:rPr>
        <w:t xml:space="preserve">(ISO 11439, ECE R110, SNI 7407), dengan panah memisahkan keduanya dan label</w:t>
      </w:r>
      <w:r>
        <w:rPr>
          <w:i/>
          <w:iCs/>
        </w:rPr>
        <w:t xml:space="preserve"> </w:t>
      </w:r>
      <w:r>
        <w:rPr>
          <w:i/>
          <w:iCs/>
        </w:rPr>
        <w:t xml:space="preserve">“Yang dinilai pembeli industri ada di kolom kiri”</w:t>
      </w:r>
      <w:r>
        <w:rPr>
          <w:i/>
          <w:iCs/>
        </w:rPr>
        <w:t xml:space="preserve">. Kode warna hijau untuk operasi, abu-abu untuk kendaraan. Teks Bahasa Indonesia, gaya flat korporat.]</w:t>
      </w:r>
    </w:p>
    <w:bookmarkEnd w:id="19"/>
    <w:bookmarkStart w:id="21" w:name="X602caa2687999d7ddc5ed9884b9a8d8c974d69e"/>
    <w:p>
      <w:pPr>
        <w:pStyle w:val="Heading2"/>
      </w:pPr>
      <w:r>
        <w:t xml:space="preserve">Bagaimana Penyedia Menjamin Pasokan CNG Tidak Putus?</w:t>
      </w:r>
    </w:p>
    <w:p>
      <w:pPr>
        <w:pStyle w:val="FirstParagraph"/>
      </w:pPr>
      <w:r>
        <w:t xml:space="preserve">Penyedia menjamin pasokan tidak putus dengan menyusun rantai keandalan yang dapat dijelaskan, bukan sekadar dijanjikan: sumber gas yang tidak tunggal, kapasitas Mother Station sebagai penyangga, redundansi armada, pemantauan tekanan, dan SLA tertulis. Berikut lima hal konkret yang berhak Anda tanyakan, dan jika satu pun tak terjawab, di situ letak risikonya:</w:t>
      </w:r>
    </w:p>
    <w:p>
      <w:pPr>
        <w:pStyle w:val="Compact"/>
        <w:numPr>
          <w:ilvl w:val="0"/>
          <w:numId w:val="1001"/>
        </w:numPr>
      </w:pPr>
      <w:r>
        <w:rPr>
          <w:b/>
          <w:bCs/>
        </w:rPr>
        <w:t xml:space="preserve">Sumber gas:</w:t>
      </w:r>
      <w:r>
        <w:t xml:space="preserve"> </w:t>
      </w:r>
      <w:r>
        <w:t xml:space="preserve">idealnya dari jaringan nasional, bukan satu titik tunggal.</w:t>
      </w:r>
    </w:p>
    <w:p>
      <w:pPr>
        <w:pStyle w:val="Compact"/>
        <w:numPr>
          <w:ilvl w:val="0"/>
          <w:numId w:val="1001"/>
        </w:numPr>
      </w:pPr>
      <w:r>
        <w:rPr>
          <w:b/>
          <w:bCs/>
        </w:rPr>
        <w:t xml:space="preserve">Kapasitas Mother Station:</w:t>
      </w:r>
      <w:r>
        <w:t xml:space="preserve"> </w:t>
      </w:r>
      <w:r>
        <w:t xml:space="preserve">penyedia bisa menyebut lokasi dan kapasitas konkret, misalnya dalam satuan MMSCFD (</w:t>
      </w:r>
      <w:r>
        <w:rPr>
          <w:i/>
          <w:iCs/>
        </w:rPr>
        <w:t xml:space="preserve">million standard cubic feet per day</w:t>
      </w:r>
      <w:r>
        <w:t xml:space="preserve">).</w:t>
      </w:r>
    </w:p>
    <w:p>
      <w:pPr>
        <w:pStyle w:val="Compact"/>
        <w:numPr>
          <w:ilvl w:val="0"/>
          <w:numId w:val="1001"/>
        </w:numPr>
      </w:pPr>
      <w:r>
        <w:rPr>
          <w:b/>
          <w:bCs/>
        </w:rPr>
        <w:t xml:space="preserve">Redundansi GTM:</w:t>
      </w:r>
      <w:r>
        <w:t xml:space="preserve"> </w:t>
      </w:r>
      <w:r>
        <w:t xml:space="preserve">armada lebih dari satu unit dan jadwal cadangan, sehingga satu truk bermasalah tidak menghentikan produksi.</w:t>
      </w:r>
    </w:p>
    <w:p>
      <w:pPr>
        <w:pStyle w:val="Compact"/>
        <w:numPr>
          <w:ilvl w:val="0"/>
          <w:numId w:val="1001"/>
        </w:numPr>
      </w:pPr>
      <w:r>
        <w:rPr>
          <w:b/>
          <w:bCs/>
        </w:rPr>
        <w:t xml:space="preserve">Telemetri tekanan:</w:t>
      </w:r>
      <w:r>
        <w:t xml:space="preserve"> </w:t>
      </w:r>
      <w:r>
        <w:rPr>
          <w:i/>
          <w:iCs/>
        </w:rPr>
        <w:t xml:space="preserve">smart meter</w:t>
      </w:r>
      <w:r>
        <w:t xml:space="preserve"> </w:t>
      </w:r>
      <w:r>
        <w:t xml:space="preserve">memantau tekanan dan volume, sehingga gangguan terdeteksi sebelum jadi krisis dan tagihan mengikuti konsumsi aktual.</w:t>
      </w:r>
    </w:p>
    <w:p>
      <w:pPr>
        <w:pStyle w:val="Compact"/>
        <w:numPr>
          <w:ilvl w:val="0"/>
          <w:numId w:val="1001"/>
        </w:numPr>
      </w:pPr>
      <w:r>
        <w:rPr>
          <w:b/>
          <w:bCs/>
        </w:rPr>
        <w:t xml:space="preserve">SLA &amp; waktu respons:</w:t>
      </w:r>
      <w:r>
        <w:t xml:space="preserve"> </w:t>
      </w:r>
      <w:r>
        <w:t xml:space="preserve">tim penanganan gangguan dengan target respons tertulis, bukan sekadar nomor telepon.</w:t>
      </w:r>
    </w:p>
    <w:p>
      <w:pPr>
        <w:pStyle w:val="FirstParagraph"/>
      </w:pPr>
      <w:r>
        <w:t xml:space="preserve">Di sinilah skala ekosistem berbicara. Sebagai gambaran, infrastruktur PGN sebagai induk grup menjaga keandalan di level 99,9% dengan Tim Penanganan Gangguan bersiaga 24 jam (PGN via ANTARA, 2025). Penyangga titik pasok pun diperluas: pada 2025 PGN Gagas membangun Mother Station CNG Medan (1 MMSCFD) dan LNG Hub Bandung (0,5 MMSCFD). Untuk kebutuhan besar, opsi LNG dari</w:t>
      </w:r>
      <w:r>
        <w:t xml:space="preserve"> </w:t>
      </w:r>
      <w:hyperlink r:id="rId20">
        <w:r>
          <w:rPr>
            <w:rStyle w:val="Hyperlink"/>
          </w:rPr>
          <w:t xml:space="preserve">penyedia LNG</w:t>
        </w:r>
      </w:hyperlink>
      <w:r>
        <w:t xml:space="preserve"> </w:t>
      </w:r>
      <w:r>
        <w:t xml:space="preserve">kerap dipertimbangkan sebagai moda komplementer.</w:t>
      </w:r>
    </w:p>
    <w:bookmarkEnd w:id="21"/>
    <w:bookmarkStart w:id="22" w:name="apakah-cng-lebih-aman-dari-lpg-dan-solar"/>
    <w:p>
      <w:pPr>
        <w:pStyle w:val="Heading2"/>
      </w:pPr>
      <w:r>
        <w:t xml:space="preserve">Apakah CNG Lebih Aman dari LPG dan Solar?</w:t>
      </w:r>
    </w:p>
    <w:p>
      <w:pPr>
        <w:pStyle w:val="FirstParagraph"/>
      </w:pPr>
      <w:r>
        <w:t xml:space="preserve">Secara sifat fisik, CNG memang punya keunggulan keselamatan tertentu, tetapi keamanannya tidak otomatis. Metana, komponen utama CNG, sekitar 45% lebih ringan dari udara (densitas ~0,55), sehingga bila bocor ia naik dan menyebar, tidak mengendap di lantai seperti propana (LPG) yang ~1,55 kali lebih berat dari udara. Suhu penyalaan spontannya pun tinggi, di kisaran 537–540°C, jauh di atas bensin.</w:t>
      </w:r>
    </w:p>
    <w:p>
      <w:pPr>
        <w:pStyle w:val="BodyText"/>
      </w:pPr>
      <w:r>
        <w:t xml:space="preserve">Dirjen Minyak dan Gas Bumi, Laode Sulaeman, menyatakan risiko kebakaran CNG relatif lebih rendah dibanding LPG karena tekanan gas yang besar justru menahan masuknya oksigen saat kebocoran terbuka (CNBC Indonesia, 19 Mei 2026). Pernyataan itu dibuat dalam konteks program konversi LPG rumah tangga, dan beliau menegaskan keamanan relatif tersebut berlaku</w:t>
      </w:r>
      <w:r>
        <w:t xml:space="preserve"> </w:t>
      </w:r>
      <w:r>
        <w:rPr>
          <w:i/>
          <w:iCs/>
        </w:rPr>
        <w:t xml:space="preserve">dengan instalasi serta prosedur yang benar</w:t>
      </w:r>
      <w:r>
        <w:t xml:space="preserve">. Pada distribusi industri, keunggulan itu hanya terwujud jika ventilasi, detektor gas, inspeksi berkala, dan operator kompeten semuanya hadir.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CNG (metana)</w:t>
            </w:r>
          </w:p>
        </w:tc>
        <w:tc>
          <w:tcPr/>
          <w:p>
            <w:pPr>
              <w:pStyle w:val="Compact"/>
            </w:pPr>
            <w:r>
              <w:t xml:space="preserve">LPG (propana)</w:t>
            </w:r>
          </w:p>
        </w:tc>
      </w:tr>
      <w:tr>
        <w:tc>
          <w:tcPr/>
          <w:p>
            <w:pPr>
              <w:pStyle w:val="Compact"/>
            </w:pPr>
            <w:r>
              <w:t xml:space="preserve">Densitas vs udara</w:t>
            </w:r>
          </w:p>
        </w:tc>
        <w:tc>
          <w:tcPr/>
          <w:p>
            <w:pPr>
              <w:pStyle w:val="Compact"/>
            </w:pPr>
            <w:r>
              <w:t xml:space="preserve">~0,55 (bocoran naik &amp; menyebar)</w:t>
            </w:r>
          </w:p>
        </w:tc>
        <w:tc>
          <w:tcPr/>
          <w:p>
            <w:pPr>
              <w:pStyle w:val="Compact"/>
            </w:pPr>
            <w:r>
              <w:t xml:space="preserve">~1,55 (mengendap di area rendah)</w:t>
            </w:r>
          </w:p>
        </w:tc>
      </w:tr>
      <w:tr>
        <w:tc>
          <w:tcPr/>
          <w:p>
            <w:pPr>
              <w:pStyle w:val="Compact"/>
            </w:pPr>
            <w:r>
              <w:t xml:space="preserve">Suhu penyalaan spontan</w:t>
            </w:r>
          </w:p>
        </w:tc>
        <w:tc>
          <w:tcPr/>
          <w:p>
            <w:pPr>
              <w:pStyle w:val="Compact"/>
            </w:pPr>
            <w:r>
              <w:t xml:space="preserve">~537–540°C</w:t>
            </w:r>
          </w:p>
        </w:tc>
        <w:tc>
          <w:tcPr/>
          <w:p>
            <w:pPr>
              <w:pStyle w:val="Compact"/>
            </w:pPr>
            <w:r>
              <w:t xml:space="preserve">~470°C</w:t>
            </w:r>
          </w:p>
        </w:tc>
      </w:tr>
      <w:tr>
        <w:tc>
          <w:tcPr/>
          <w:p>
            <w:pPr>
              <w:pStyle w:val="Compact"/>
            </w:pPr>
            <w:r>
              <w:t xml:space="preserve">Rentang mudah terbakar</w:t>
            </w:r>
          </w:p>
        </w:tc>
        <w:tc>
          <w:tcPr/>
          <w:p>
            <w:pPr>
              <w:pStyle w:val="Compact"/>
            </w:pPr>
            <w:r>
              <w:t xml:space="preserve">5–15%</w:t>
            </w:r>
          </w:p>
        </w:tc>
        <w:tc>
          <w:tcPr/>
          <w:p>
            <w:pPr>
              <w:pStyle w:val="Compact"/>
            </w:pPr>
            <w:r>
              <w:t xml:space="preserve">2,1–9,5% (lebih lebar)</w:t>
            </w:r>
          </w:p>
        </w:tc>
      </w:tr>
      <w:tr>
        <w:tc>
          <w:tcPr/>
          <w:p>
            <w:pPr>
              <w:pStyle w:val="Compact"/>
            </w:pPr>
            <w:r>
              <w:t xml:space="preserve">Catatan kunci</w:t>
            </w:r>
          </w:p>
        </w:tc>
        <w:tc>
          <w:tcPr/>
          <w:p>
            <w:pPr>
              <w:pStyle w:val="Compact"/>
            </w:pPr>
            <w:r>
              <w:t xml:space="preserve">Bergantung pada instalasi, perawatan, operator</w:t>
            </w:r>
          </w:p>
        </w:tc>
        <w:tc>
          <w:tcPr/>
          <w:p>
            <w:pPr>
              <w:pStyle w:val="Compact"/>
            </w:pPr>
            <w:r>
              <w:t xml:space="preserve">Idem</w:t>
            </w:r>
          </w:p>
        </w:tc>
      </w:tr>
    </w:tbl>
    <w:bookmarkEnd w:id="22"/>
    <w:bookmarkStart w:id="24" w:name="Xc7e94ab66edd4d0a6fba216d9843908b159ed26"/>
    <w:p>
      <w:pPr>
        <w:pStyle w:val="Heading2"/>
      </w:pPr>
      <w:r>
        <w:t xml:space="preserve">Klaim Keamanan yang Sebaiknya Anda Tanyakan Lebih Dalam</w:t>
      </w:r>
    </w:p>
    <w:p>
      <w:pPr>
        <w:pStyle w:val="FirstParagraph"/>
      </w:pPr>
      <w:r>
        <w:t xml:space="preserve">Beberapa klaim terdengar meyakinkan justru karena samar, dan di situlah pembeli kerap tertipu.</w:t>
      </w:r>
      <w:r>
        <w:t xml:space="preserve"> </w:t>
      </w:r>
      <w:r>
        <w:t xml:space="preserve">“Aman 100%”</w:t>
      </w:r>
      <w:r>
        <w:t xml:space="preserve"> </w:t>
      </w:r>
      <w:r>
        <w:t xml:space="preserve">adalah tanda bahaya, bukan jaminan; keselamatan sejati adalah proses dan bukti, bukan kata sifat. Empat hal berikut paling sering menyembunyikan celah, dan patut Anda dalami sebelum tanda tangan kontrak:</w:t>
      </w:r>
    </w:p>
    <w:p>
      <w:pPr>
        <w:pStyle w:val="Compact"/>
        <w:numPr>
          <w:ilvl w:val="0"/>
          <w:numId w:val="1002"/>
        </w:numPr>
      </w:pPr>
      <w:r>
        <w:rPr>
          <w:b/>
          <w:bCs/>
        </w:rPr>
        <w:t xml:space="preserve">Sertifikat yang lingkupnya salah.</w:t>
      </w:r>
      <w:r>
        <w:t xml:space="preserve"> </w:t>
      </w:r>
      <w:r>
        <w:t xml:space="preserve">Sertifikat bisa sah tetapi tidak mencakup distribusi CNG. Minta lihat ruang lingkup pada sertifikat ISO 45001-nya, bukan sekadar logo di brosur.</w:t>
      </w:r>
    </w:p>
    <w:p>
      <w:pPr>
        <w:pStyle w:val="Compact"/>
        <w:numPr>
          <w:ilvl w:val="0"/>
          <w:numId w:val="1002"/>
        </w:numPr>
      </w:pPr>
      <w:r>
        <w:rPr>
          <w:b/>
          <w:bCs/>
        </w:rPr>
        <w:t xml:space="preserve">“Layanan 24 jam”</w:t>
      </w:r>
      <w:r>
        <w:rPr>
          <w:b/>
          <w:bCs/>
        </w:rPr>
        <w:t xml:space="preserve"> </w:t>
      </w:r>
      <w:r>
        <w:rPr>
          <w:b/>
          <w:bCs/>
        </w:rPr>
        <w:t xml:space="preserve">tanpa SLA nyata.</w:t>
      </w:r>
      <w:r>
        <w:t xml:space="preserve"> </w:t>
      </w:r>
      <w:r>
        <w:t xml:space="preserve">Frasa ini hanya bermakna bila ada tim penanganan gangguan yang benar-benar ada, SLA tertulis dengan target respons, dan pemantauan</w:t>
      </w:r>
      <w:r>
        <w:t xml:space="preserve"> </w:t>
      </w:r>
      <w:r>
        <w:rPr>
          <w:i/>
          <w:iCs/>
        </w:rPr>
        <w:t xml:space="preserve">real-time</w:t>
      </w:r>
      <w:r>
        <w:t xml:space="preserve">. Tanpa itu,</w:t>
      </w:r>
      <w:r>
        <w:t xml:space="preserve"> </w:t>
      </w:r>
      <w:r>
        <w:t xml:space="preserve">“24 jam”</w:t>
      </w:r>
      <w:r>
        <w:t xml:space="preserve"> </w:t>
      </w:r>
      <w:r>
        <w:t xml:space="preserve">hanyalah nomor telepon yang berdering.</w:t>
      </w:r>
    </w:p>
    <w:p>
      <w:pPr>
        <w:pStyle w:val="Compact"/>
        <w:numPr>
          <w:ilvl w:val="0"/>
          <w:numId w:val="1002"/>
        </w:numPr>
      </w:pPr>
      <w:r>
        <w:rPr>
          <w:b/>
          <w:bCs/>
        </w:rPr>
        <w:t xml:space="preserve">Tidak ada rencana saat satu GTM bermasalah.</w:t>
      </w:r>
      <w:r>
        <w:t xml:space="preserve"> </w:t>
      </w:r>
      <w:r>
        <w:t xml:space="preserve">Tanyakan langsung:</w:t>
      </w:r>
      <w:r>
        <w:t xml:space="preserve"> </w:t>
      </w:r>
      <w:r>
        <w:t xml:space="preserve">“Apa yang terjadi jika truk ke pabrik kami mogok pukul dua pagi?”</w:t>
      </w:r>
      <w:r>
        <w:t xml:space="preserve"> </w:t>
      </w:r>
      <w:r>
        <w:t xml:space="preserve">Jawaban jujur menyebut armada cadangan dan jadwal alternatif.</w:t>
      </w:r>
    </w:p>
    <w:p>
      <w:pPr>
        <w:pStyle w:val="Compact"/>
        <w:numPr>
          <w:ilvl w:val="0"/>
          <w:numId w:val="1002"/>
        </w:numPr>
      </w:pPr>
      <w:r>
        <w:rPr>
          <w:b/>
          <w:bCs/>
        </w:rPr>
        <w:t xml:space="preserve">Penagihan estimasi tanpa telemetri.</w:t>
      </w:r>
      <w:r>
        <w:t xml:space="preserve"> </w:t>
      </w:r>
      <w:r>
        <w:t xml:space="preserve">Tagihan berbasis perkiraan, bukan</w:t>
      </w:r>
      <w:r>
        <w:t xml:space="preserve"> </w:t>
      </w:r>
      <w:r>
        <w:rPr>
          <w:i/>
          <w:iCs/>
        </w:rPr>
        <w:t xml:space="preserve">smart meter</w:t>
      </w:r>
      <w:r>
        <w:t xml:space="preserve">, kerap menyembunyikan absennya pemantauan yang sebenarnya juga menopang keselamatan. Pemakaian</w:t>
      </w:r>
      <w:r>
        <w:t xml:space="preserve"> </w:t>
      </w:r>
      <w:hyperlink r:id="rId23">
        <w:r>
          <w:rPr>
            <w:rStyle w:val="Hyperlink"/>
          </w:rPr>
          <w:t xml:space="preserve">pasokan Gaslink untuk industri</w:t>
        </w:r>
      </w:hyperlink>
      <w:r>
        <w:t xml:space="preserve">, misalnya, dicatat lewat</w:t>
      </w:r>
      <w:r>
        <w:t xml:space="preserve"> </w:t>
      </w:r>
      <w:r>
        <w:rPr>
          <w:i/>
          <w:iCs/>
        </w:rPr>
        <w:t xml:space="preserve">smart metering</w:t>
      </w:r>
      <w:r>
        <w:t xml:space="preserve"> </w:t>
      </w:r>
      <w:r>
        <w:t xml:space="preserve">sehingga Anda membayar konsumsi aktual.</w:t>
      </w:r>
    </w:p>
    <w:p>
      <w:pPr>
        <w:pStyle w:val="FirstParagraph"/>
      </w:pPr>
      <w:r>
        <w:t xml:space="preserve">Satu lagi yang kerap luput: kompetensi operator. Penyedia serius dapat menunjukkan teknisinya bersertifikat sesuai ketentuan K3 migas Kemnaker, bukan sekadar</w:t>
      </w:r>
      <w:r>
        <w:t xml:space="preserve"> </w:t>
      </w:r>
      <w:r>
        <w:t xml:space="preserve">“pelatihan internal”</w:t>
      </w:r>
      <w:r>
        <w:t xml:space="preserve">.</w:t>
      </w:r>
    </w:p>
    <w:p>
      <w:pPr>
        <w:pStyle w:val="BodyText"/>
      </w:pPr>
      <w:r>
        <w:rPr>
          <w:i/>
          <w:iCs/>
        </w:rPr>
        <w:t xml:space="preserve">[Image 03: Ilustrasi checklist</w:t>
      </w:r>
      <w:r>
        <w:rPr>
          <w:i/>
          <w:iCs/>
        </w:rPr>
        <w:t xml:space="preserve"> </w:t>
      </w:r>
      <w:r>
        <w:rPr>
          <w:i/>
          <w:iCs/>
        </w:rPr>
        <w:t xml:space="preserve">“Empat klaim yang harus ditanyakan lebih dalam”</w:t>
      </w:r>
      <w:r>
        <w:rPr>
          <w:i/>
          <w:iCs/>
        </w:rPr>
        <w:t xml:space="preserve"> </w:t>
      </w:r>
      <w:r>
        <w:rPr>
          <w:i/>
          <w:iCs/>
        </w:rPr>
        <w:t xml:space="preserve">— empat kartu vertikal, masing-masing dengan ikon (sertifikat dengan tanda tanya, jam dengan tanda seru, truk dengan jalur cadangan, meteran pintar), judul singkat, dan satu pertanyaan kunci di bawahnya. Gaya flat korporat, palet biru tua dan aksen oranye untuk peringatan, teks Bahasa Indonesia.]</w:t>
      </w:r>
    </w:p>
    <w:bookmarkEnd w:id="24"/>
    <w:bookmarkStart w:id="31" w:name="faq-pertanyaan-yang-sering-diajukan"/>
    <w:p>
      <w:pPr>
        <w:pStyle w:val="Heading2"/>
      </w:pPr>
      <w:r>
        <w:t xml:space="preserve">FAQ (Pertanyaan yang Sering Diajukan)</w:t>
      </w:r>
    </w:p>
    <w:bookmarkStart w:id="25" w:name="Xe816990ca3d61793fc872eb3ef80c1a3fbac371"/>
    <w:p>
      <w:pPr>
        <w:pStyle w:val="Heading3"/>
      </w:pPr>
      <w:r>
        <w:t xml:space="preserve">Apakah CNG aman untuk operasional industri?</w:t>
      </w:r>
    </w:p>
    <w:p>
      <w:pPr>
        <w:pStyle w:val="FirstParagraph"/>
      </w:pPr>
      <w:r>
        <w:t xml:space="preserve">Ya, sepanjang instalasi dan perawatan memenuhi standar. Secara fisik, metana lebih ringan dari udara sehingga bocoran naik dan menyebar, dan suhu penyalaan spontannya tinggi (~540°C). Namun keamanan tetap bergantung pada kualitas instalasi, inspeksi berkala sesuai Permen ESDM 32/2021, ventilasi, detektor gas, dan kompetensi operator di lapangan.</w:t>
      </w:r>
    </w:p>
    <w:bookmarkEnd w:id="25"/>
    <w:bookmarkStart w:id="26" w:name="apakah-cng-lebih-aman-dari-lpg"/>
    <w:p>
      <w:pPr>
        <w:pStyle w:val="Heading3"/>
      </w:pPr>
      <w:r>
        <w:t xml:space="preserve">Apakah CNG lebih aman dari LPG?</w:t>
      </w:r>
    </w:p>
    <w:p>
      <w:pPr>
        <w:pStyle w:val="FirstParagraph"/>
      </w:pPr>
      <w:r>
        <w:t xml:space="preserve">Dari sifat fisik, CNG punya keunggulan tertentu: metana lebih ringan dari udara sehingga bocoran tersebar ke atas, sedangkan propana (LPG) lebih berat dan bisa mengendap di area rendah. Dirjen Migas (CNBC Indonesia, 19 Mei 2026) menyebut risiko kebakaran CNG relatif lebih rendah. Namun tidak absolut; keamanan keduanya bergantung pada instalasi benar dan pemeliharaan rutin.</w:t>
      </w:r>
    </w:p>
    <w:bookmarkEnd w:id="26"/>
    <w:bookmarkStart w:id="27" w:name="X19cbaef4a026862a2786a743da4df588e96dc6a"/>
    <w:p>
      <w:pPr>
        <w:pStyle w:val="Heading3"/>
      </w:pPr>
      <w:r>
        <w:t xml:space="preserve">Standar dan sertifikasi apa yang wajib dimiliki penyedia CNG?</w:t>
      </w:r>
    </w:p>
    <w:p>
      <w:pPr>
        <w:pStyle w:val="FirstParagraph"/>
      </w:pPr>
      <w:r>
        <w:t xml:space="preserve">Untuk layanan distribusi CNG industri: kepatuhan pada Permen ESDM 32/2021 (inspeksi teknis instalasi migas), penerapan SMKM sesuai Kepmen ESDM 176.K/2024 (berlaku Januari 2025), dan idealnya sertifikasi ISO 45001:2018 yang dapat diaudit pihak ketiga. Minta dokumen sertifikat dari lembaga terakreditasi, bukan sekadar klaim brosur.</w:t>
      </w:r>
    </w:p>
    <w:bookmarkEnd w:id="27"/>
    <w:bookmarkStart w:id="28" w:name="X1edb43c394280be4ecb67db6a41e93254538c6d"/>
    <w:p>
      <w:pPr>
        <w:pStyle w:val="Heading3"/>
      </w:pPr>
      <w:r>
        <w:t xml:space="preserve">Bagaimana penyedia menjamin pasokan CNG tetap stabil?</w:t>
      </w:r>
    </w:p>
    <w:p>
      <w:pPr>
        <w:pStyle w:val="FirstParagraph"/>
      </w:pPr>
      <w:r>
        <w:t xml:space="preserve">Penyedia andal dapat menjelaskan sumber gas, kapasitas Mother Station, rencana cadangan armada GTM, pemantauan tekanan</w:t>
      </w:r>
      <w:r>
        <w:t xml:space="preserve"> </w:t>
      </w:r>
      <w:r>
        <w:rPr>
          <w:i/>
          <w:iCs/>
        </w:rPr>
        <w:t xml:space="preserve">real-time</w:t>
      </w:r>
      <w:r>
        <w:t xml:space="preserve">, serta SLA dengan waktu respons tertulis. Sebagai gambaran skala, infrastruktur PGN menjaga keandalan di level 99,9% dengan tim penanganan gangguan 24 jam (PGN via ANTARA, 2025).</w:t>
      </w:r>
    </w:p>
    <w:bookmarkEnd w:id="28"/>
    <w:bookmarkStart w:id="29" w:name="X31b4f4c7db71d519fbcc41c96bde1a6e9a589a0"/>
    <w:p>
      <w:pPr>
        <w:pStyle w:val="Heading3"/>
      </w:pPr>
      <w:r>
        <w:t xml:space="preserve">Apa risiko utama CNG dan bagaimana dimitigasi?</w:t>
      </w:r>
    </w:p>
    <w:p>
      <w:pPr>
        <w:pStyle w:val="FirstParagraph"/>
      </w:pPr>
      <w:r>
        <w:t xml:space="preserve">Risiko utama meliputi kebocoran (dimitigasi detektor gas, ventilasi, inspeksi), tekanan berlebih (</w:t>
      </w:r>
      <w:r>
        <w:rPr>
          <w:i/>
          <w:iCs/>
        </w:rPr>
        <w:t xml:space="preserve">Pressure Relief Device</w:t>
      </w:r>
      <w:r>
        <w:t xml:space="preserve"> </w:t>
      </w:r>
      <w:r>
        <w:t xml:space="preserve">dan pemeriksaan PRS rutin), kegagalan komponen, serta kesalahan operator. Risiko nyata umumnya bukan dari CNG itu sendiri, melainkan dari instalasi tidak standar atau perawatan yang diabaikan.</w:t>
      </w:r>
    </w:p>
    <w:bookmarkEnd w:id="29"/>
    <w:bookmarkStart w:id="30" w:name="X55d082425d90c450050a3139c4365fa7dde8341"/>
    <w:p>
      <w:pPr>
        <w:pStyle w:val="Heading3"/>
      </w:pPr>
      <w:r>
        <w:t xml:space="preserve">Apa bedanya ISO 11439/ECE R110 dengan ISO 45001 untuk CNG?</w:t>
      </w:r>
    </w:p>
    <w:p>
      <w:pPr>
        <w:pStyle w:val="FirstParagraph"/>
      </w:pPr>
      <w:r>
        <w:t xml:space="preserve">ISO 11439 dan ECE R110 mengatur tabung serta komponen CNG di kendaraan bermotor, relevan saat menilai silinder NGV atau armada penyedia. ISO 45001:2018 adalah standar manajemen K3 operasional yang dapat diaudit dan mencakup seluruh proses distribusi. Bagi pembeli industri, ISO 45001 pada penyedia jauh lebih relevan untuk keamanan operasional Anda.</w:t>
      </w:r>
    </w:p>
    <w:bookmarkEnd w:id="30"/>
    <w:bookmarkEnd w:id="31"/>
    <w:bookmarkStart w:id="32" w:name="kesimpulan"/>
    <w:p>
      <w:pPr>
        <w:pStyle w:val="Heading2"/>
      </w:pPr>
      <w:r>
        <w:t xml:space="preserve">Kesimpulan</w:t>
      </w:r>
    </w:p>
    <w:p>
      <w:pPr>
        <w:pStyle w:val="FirstParagraph"/>
      </w:pPr>
      <w:r>
        <w:t xml:space="preserve">Kembali ke ketakutan di awal, produksi yang berhenti dan insiden di lokasi, keduanya bisa ditekan bila Anda menuntut bukti, bukan kata sifat.</w:t>
      </w:r>
      <w:r>
        <w:t xml:space="preserve"> </w:t>
      </w:r>
      <w:r>
        <w:t xml:space="preserve">“Aman”</w:t>
      </w:r>
      <w:r>
        <w:t xml:space="preserve"> </w:t>
      </w:r>
      <w:r>
        <w:t xml:space="preserve">diterjemahkan menjadi sertifikat berlingkup tepat dan inspeksi sesuai Permen ESDM 32/2021;</w:t>
      </w:r>
      <w:r>
        <w:t xml:space="preserve"> </w:t>
      </w:r>
      <w:r>
        <w:t xml:space="preserve">“andal”</w:t>
      </w:r>
      <w:r>
        <w:t xml:space="preserve"> </w:t>
      </w:r>
      <w:r>
        <w:t xml:space="preserve">menjadi kapasitas Mother Station, redundansi armada, telemetri, dan SLA tertulis. Sebagai penyedia CNG kredibel yang merupakan bagian dari ekosistem PGN / Subholding Gas Pertamina, PGN Gagas menjadikan keduanya terukur lewat ISO 45001:2018 khusus distribusi CNG, layanan 24 jam dengan perhitungan akurat, dan nilai budaya Safety. Langkah paling bijak bukan memilih yang paling lantang berjanji, melainkan yang paling siap membuktikannya.</w:t>
      </w:r>
    </w:p>
    <w:p>
      <w:pPr>
        <w:pStyle w:val="BodyText"/>
      </w:pPr>
      <w:r>
        <w:t xml:space="preserve">Untuk mendiskusikan jaminan keamanan dan keandalan pasokan CNG yang sesuai kebutuhan operasi Anda, kunjungi gagas.co.id dan mulai konsultasinya.</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3"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gagas.co.id/perusahaan-lng-indonesia/" TargetMode="External" /></Relationships>
</file>

<file path=word/_rels/footnotes.xml.rels><?xml version="1.0" encoding="UTF-8"?><Relationships xmlns="http://schemas.openxmlformats.org/package/2006/relationships"><Relationship Type="http://schemas.openxmlformats.org/officeDocument/2006/relationships/hyperlink" Id="rId23" Target="https://gagas.co.id/gaslink/" TargetMode="External" /><Relationship Type="http://schemas.openxmlformats.org/officeDocument/2006/relationships/hyperlink" Id="rId17" Target="https://gagas.co.id/perusahaan-cng-indonesia/" TargetMode="External" /><Relationship Type="http://schemas.openxmlformats.org/officeDocument/2006/relationships/hyperlink" Id="rId20" Target="https://gagas.co.id/perusahaan-lng-indonesi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2026-06-09T09:04:31Z</dcterms:created>
  <dcterms:modified xsi:type="dcterms:W3CDTF">2026-06-09T09:04:31Z</dcterms:modified>
</cp:coreProperties>
</file>

<file path=docProps/custom.xml><?xml version="1.0" encoding="utf-8"?>
<Properties xmlns="http://schemas.openxmlformats.org/officeDocument/2006/custom-properties" xmlns:vt="http://schemas.openxmlformats.org/officeDocument/2006/docPropsVTypes"/>
</file>