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"7 Kesalahan Umum Saat Memilih Perusahaan CNG (dan Cara Menghindarinya)"</w:t>
      </w:r>
      <w:r>
        <w:br/>
      </w:r>
      <w:r>
        <w:rPr>
          <w:rStyle w:val="FunctionTok"/>
        </w:rPr>
        <w:t xml:space="preserve">meta_title</w:t>
      </w:r>
      <w:r>
        <w:rPr>
          <w:rStyle w:val="KeywordTok"/>
        </w:rPr>
        <w:t xml:space="preserve">:</w:t>
      </w:r>
      <w:r>
        <w:rPr>
          <w:rStyle w:val="AttributeTok"/>
        </w:rPr>
        <w:t xml:space="preserve"> </w:t>
      </w:r>
      <w:r>
        <w:rPr>
          <w:rStyle w:val="StringTok"/>
        </w:rPr>
        <w:t xml:space="preserve">"Kesalahan Memilih Perusahaan CNG Indonesia &amp; Solusinya"</w:t>
      </w:r>
      <w:r>
        <w:br/>
      </w:r>
      <w:r>
        <w:rPr>
          <w:rStyle w:val="FunctionTok"/>
        </w:rPr>
        <w:t xml:space="preserve">meta_description</w:t>
      </w:r>
      <w:r>
        <w:rPr>
          <w:rStyle w:val="KeywordTok"/>
        </w:rPr>
        <w:t xml:space="preserve">:</w:t>
      </w:r>
      <w:r>
        <w:rPr>
          <w:rStyle w:val="AttributeTok"/>
        </w:rPr>
        <w:t xml:space="preserve"> </w:t>
      </w:r>
      <w:r>
        <w:rPr>
          <w:rStyle w:val="StringTok"/>
        </w:rPr>
        <w:t xml:space="preserve">"Kesalahan umum memilih perusahaan CNG Indonesia: dari terpaku harga termurah sampai abai legalitas izin niaga. Panduan jujur: kesalahan, akibat, cara hindari."</w:t>
      </w:r>
      <w:r>
        <w:br/>
      </w:r>
      <w:r>
        <w:rPr>
          <w:rStyle w:val="FunctionTok"/>
        </w:rPr>
        <w:t xml:space="preserve">slug</w:t>
      </w:r>
      <w:r>
        <w:rPr>
          <w:rStyle w:val="KeywordTok"/>
        </w:rPr>
        <w:t xml:space="preserve">:</w:t>
      </w:r>
      <w:r>
        <w:rPr>
          <w:rStyle w:val="AttributeTok"/>
        </w:rPr>
        <w:t xml:space="preserve"> </w:t>
      </w:r>
      <w:r>
        <w:rPr>
          <w:rStyle w:val="StringTok"/>
        </w:rPr>
        <w:t xml:space="preserve">"kesalahan-memilih-perusahaan-cng-indonesia"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"kesalahan memilih penyedia CNG"</w:t>
      </w:r>
      <w:r>
        <w:br/>
      </w:r>
      <w:r>
        <w:rPr>
          <w:rStyle w:val="AttributeTok"/>
        </w:rPr>
        <w:t xml:space="preserve">  </w:t>
      </w:r>
      <w:r>
        <w:rPr>
          <w:rStyle w:val="KeywordTok"/>
        </w:rPr>
        <w:t xml:space="preserve">-</w:t>
      </w:r>
      <w:r>
        <w:rPr>
          <w:rStyle w:val="AttributeTok"/>
        </w:rPr>
        <w:t xml:space="preserve"> </w:t>
      </w:r>
      <w:r>
        <w:rPr>
          <w:rStyle w:val="StringTok"/>
        </w:rPr>
        <w:t xml:space="preserve">"tips memilih supplier CNG"</w:t>
      </w:r>
      <w:r>
        <w:br/>
      </w:r>
      <w:r>
        <w:rPr>
          <w:rStyle w:val="AttributeTok"/>
        </w:rPr>
        <w:t xml:space="preserve">  </w:t>
      </w:r>
      <w:r>
        <w:rPr>
          <w:rStyle w:val="KeywordTok"/>
        </w:rPr>
        <w:t xml:space="preserve">-</w:t>
      </w:r>
      <w:r>
        <w:rPr>
          <w:rStyle w:val="AttributeTok"/>
        </w:rPr>
        <w:t xml:space="preserve"> </w:t>
      </w:r>
      <w:r>
        <w:rPr>
          <w:rStyle w:val="StringTok"/>
        </w:rPr>
        <w:t xml:space="preserve">"legalitas izin niaga gas bumi"</w:t>
      </w:r>
      <w:r>
        <w:br/>
      </w:r>
      <w:r>
        <w:rPr>
          <w:rStyle w:val="AttributeTok"/>
        </w:rPr>
        <w:t xml:space="preserve">  </w:t>
      </w:r>
      <w:r>
        <w:rPr>
          <w:rStyle w:val="KeywordTok"/>
        </w:rPr>
        <w:t xml:space="preserve">-</w:t>
      </w:r>
      <w:r>
        <w:rPr>
          <w:rStyle w:val="AttributeTok"/>
        </w:rPr>
        <w:t xml:space="preserve"> </w:t>
      </w:r>
      <w:r>
        <w:rPr>
          <w:rStyle w:val="StringTok"/>
        </w:rPr>
        <w:t xml:space="preserve">"Izin Usaha Niaga (IUN)"</w:t>
      </w:r>
      <w:r>
        <w:br/>
      </w:r>
      <w:r>
        <w:rPr>
          <w:rStyle w:val="AttributeTok"/>
        </w:rPr>
        <w:t xml:space="preserve">  </w:t>
      </w:r>
      <w:r>
        <w:rPr>
          <w:rStyle w:val="KeywordTok"/>
        </w:rPr>
        <w:t xml:space="preserve">-</w:t>
      </w:r>
      <w:r>
        <w:rPr>
          <w:rStyle w:val="AttributeTok"/>
        </w:rPr>
        <w:t xml:space="preserve"> </w:t>
      </w:r>
      <w:r>
        <w:rPr>
          <w:rStyle w:val="StringTok"/>
        </w:rPr>
        <w:t xml:space="preserve">"keandalan pasokan (security of supply)"</w:t>
      </w:r>
      <w:r>
        <w:br/>
      </w:r>
      <w:r>
        <w:rPr>
          <w:rStyle w:val="AttributeTok"/>
        </w:rPr>
        <w:t xml:space="preserve">  </w:t>
      </w:r>
      <w:r>
        <w:rPr>
          <w:rStyle w:val="KeywordTok"/>
        </w:rPr>
        <w:t xml:space="preserve">-</w:t>
      </w:r>
      <w:r>
        <w:rPr>
          <w:rStyle w:val="AttributeTok"/>
        </w:rPr>
        <w:t xml:space="preserve"> </w:t>
      </w:r>
      <w:r>
        <w:rPr>
          <w:rStyle w:val="StringTok"/>
        </w:rPr>
        <w:t xml:space="preserve">"sertifikasi ISO 45001"</w:t>
      </w:r>
      <w:r>
        <w:br/>
      </w:r>
      <w:r>
        <w:rPr>
          <w:rStyle w:val="AttributeTok"/>
        </w:rPr>
        <w:t xml:space="preserve">  </w:t>
      </w:r>
      <w:r>
        <w:rPr>
          <w:rStyle w:val="KeywordTok"/>
        </w:rPr>
        <w:t xml:space="preserve">-</w:t>
      </w:r>
      <w:r>
        <w:rPr>
          <w:rStyle w:val="AttributeTok"/>
        </w:rPr>
        <w:t xml:space="preserve"> </w:t>
      </w:r>
      <w:r>
        <w:rPr>
          <w:rStyle w:val="StringTok"/>
        </w:rPr>
        <w:t xml:space="preserve">"total cost of ownership gas"</w:t>
      </w:r>
      <w:r>
        <w:br/>
      </w:r>
      <w:r>
        <w:rPr>
          <w:rStyle w:val="AttributeTok"/>
        </w:rPr>
        <w:t xml:space="preserve">  </w:t>
      </w:r>
      <w:r>
        <w:rPr>
          <w:rStyle w:val="KeywordTok"/>
        </w:rPr>
        <w:t xml:space="preserve">-</w:t>
      </w:r>
      <w:r>
        <w:rPr>
          <w:rStyle w:val="AttributeTok"/>
        </w:rPr>
        <w:t xml:space="preserve"> </w:t>
      </w:r>
      <w:r>
        <w:rPr>
          <w:rStyle w:val="StringTok"/>
        </w:rPr>
        <w:t xml:space="preserve">"SLA dukungan teknis CNG"</w:t>
      </w:r>
      <w:r>
        <w:br/>
      </w:r>
      <w:r>
        <w:rPr>
          <w:rStyle w:val="AttributeTok"/>
        </w:rPr>
        <w:t xml:space="preserve">  </w:t>
      </w:r>
      <w:r>
        <w:rPr>
          <w:rStyle w:val="KeywordTok"/>
        </w:rPr>
        <w:t xml:space="preserve">-</w:t>
      </w:r>
      <w:r>
        <w:rPr>
          <w:rStyle w:val="AttributeTok"/>
        </w:rPr>
        <w:t xml:space="preserve"> </w:t>
      </w:r>
      <w:r>
        <w:rPr>
          <w:rStyle w:val="StringTok"/>
        </w:rPr>
        <w:t xml:space="preserve">"syarat konsumsi minimum"</w:t>
      </w:r>
      <w:r>
        <w:br/>
      </w:r>
      <w:r>
        <w:rPr>
          <w:rStyle w:val="AttributeTok"/>
        </w:rPr>
        <w:t xml:space="preserve">  </w:t>
      </w:r>
      <w:r>
        <w:rPr>
          <w:rStyle w:val="KeywordTok"/>
        </w:rPr>
        <w:t xml:space="preserve">-</w:t>
      </w:r>
      <w:r>
        <w:rPr>
          <w:rStyle w:val="AttributeTok"/>
        </w:rPr>
        <w:t xml:space="preserve"> </w:t>
      </w:r>
      <w:r>
        <w:rPr>
          <w:rStyle w:val="StringTok"/>
        </w:rPr>
        <w:t xml:space="preserve">"rekam jejak penyedia CNG"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kebutuhan industri dan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"https://migas.esdm.go.id/post/read/menteri-jonan-tetapkan-permen-esdm-tentang-pengusahaan-gas-bumi-pada-kegiatan-usaha-hilir-minyak-dan-gas-bumi"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"Dasar hukum Izin Usaha Niaga (IUN) untuk kegiatan niaga CNG — Permen ESDM No. 4/2018; cara verifikasi legalitas penyedia"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"https://peraturan.bpk.go.id/Details/215446/permen-esdm-no-32-tahun-2021"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"Permen ESDM No. 32/2021 — kewajiban inspeksi teknis dan pemeriksaan keselamatan instalasi migas secara berkala"</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"perusahaan-cng-indonesia-05"</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1508</w:t>
      </w:r>
    </w:p>
    <w:p>
      <w:r>
        <w:pict>
          <v:rect style="width:0;height:1.5pt" o:hralign="center" o:hrstd="t" o:hr="t"/>
        </w:pict>
      </w:r>
    </w:p>
    <w:bookmarkEnd w:id="16"/>
    <w:bookmarkStart w:id="33" w:name="X912e38b5046e7873a5e11776e62225029454b83"/>
    <w:p>
      <w:pPr>
        <w:pStyle w:val="Heading1"/>
      </w:pPr>
      <w:r>
        <w:t xml:space="preserve">7 Kesalahan Umum Saat Memilih Perusahaan CNG (dan Cara Menghindarinya)</w:t>
      </w:r>
    </w:p>
    <w:p>
      <w:pPr>
        <w:pStyle w:val="FirstParagraph"/>
      </w:pPr>
      <w:r>
        <w:t xml:space="preserve">Salah memilih penyedia CNG jarang terasa di hari penandatanganan kontrak. Biasanya muncul enam bulan kemudian: pasokan tersendat saat pesanan ramai, tagihan meleset karena tak ada telemetri, atau ternyata izin niaganya bermasalah. Memilih</w:t>
      </w:r>
      <w:r>
        <w:t xml:space="preserve"> </w:t>
      </w:r>
      <w:hyperlink r:id="rId17">
        <w:r>
          <w:rPr>
            <w:rStyle w:val="Hyperlink"/>
          </w:rPr>
          <w:t xml:space="preserve">perusahaan CNG Indonesia</w:t>
        </w:r>
      </w:hyperlink>
      <w:r>
        <w:t xml:space="preserve"> </w:t>
      </w:r>
      <w:r>
        <w:t xml:space="preserve">yang tepat menentukan apakah energi pabrik Anda jadi penghematan atau sumber masalah baru. Artikel ini sengaja jujur dan tidak menjual satu vendor: ia membongkar tujuh kesalahan paling umum, akibatnya di lapangan, dan cara menghindarinya, lengkap dengan langkah memverifikasi legalitas penyedia.</w:t>
      </w:r>
    </w:p>
    <w:p>
      <w:pPr>
        <w:pStyle w:val="BlockText"/>
      </w:pPr>
      <w:r>
        <w:rPr>
          <w:b/>
          <w:bCs/>
        </w:rPr>
        <w:t xml:space="preserve">Secara singkat:</w:t>
      </w:r>
      <w:r>
        <w:t xml:space="preserve"> </w:t>
      </w:r>
      <w:r>
        <w:t xml:space="preserve">Memilih perusahaan CNG Indonesia yang tepat berarti mengevaluasi lebih dari sekadar harga gas per unit: meliputi legalitas Izin Usaha Niaga dari Kementerian ESDM, sertifikasi keselamatan seperti ISO 45001:2018, sistem pengukuran konsumsi aktual (telemetri), jaminan keandalan pasokan, dan dukungan teknis purnajual, sebelum menandatangani kontrak pasokan gas.</w:t>
      </w:r>
    </w:p>
    <w:p>
      <w:pPr>
        <w:pStyle w:val="FirstParagraph"/>
      </w:pPr>
      <w:r>
        <w:rPr>
          <w:i/>
          <w:iCs/>
        </w:rPr>
        <w:t xml:space="preserve">[Image 01: Infografis vertikal</w:t>
      </w:r>
      <w:r>
        <w:rPr>
          <w:i/>
          <w:iCs/>
        </w:rPr>
        <w:t xml:space="preserve"> </w:t>
      </w:r>
      <w:r>
        <w:rPr>
          <w:i/>
          <w:iCs/>
        </w:rPr>
        <w:t xml:space="preserve">“7 Kesalahan Memilih Perusahaan CNG”</w:t>
      </w:r>
      <w:r>
        <w:rPr>
          <w:i/>
          <w:iCs/>
        </w:rPr>
        <w:t xml:space="preserve"> </w:t>
      </w:r>
      <w:r>
        <w:rPr>
          <w:i/>
          <w:iCs/>
        </w:rPr>
        <w:t xml:space="preserve">— tiga kolom (Kesalahan, Akibat di Lapangan, Cara Hindari) dengan ikon per baris (uang, dokumen izin, helm K3, truk, headset, kalkulator, jabat tangan). Gaya flat infografis B2B, palet hijau-biru energi bersih, teks Bahasa Indonesia, format siap dibagikan/di-screenshot.]</w:t>
      </w:r>
    </w:p>
    <w:bookmarkStart w:id="18" w:name="Xaa8fc28b16805934e96e1897ab5b4738afe7974"/>
    <w:p>
      <w:pPr>
        <w:pStyle w:val="Heading2"/>
      </w:pPr>
      <w:r>
        <w:t xml:space="preserve">Mengapa salah memilih penyedia CNG baru terasa belakangan</w:t>
      </w:r>
    </w:p>
    <w:p>
      <w:pPr>
        <w:pStyle w:val="FirstParagraph"/>
      </w:pPr>
      <w:r>
        <w:t xml:space="preserve">Sebagian besar biaya dari keputusan yang keliru bersifat tersembunyi dan tertunda. Di awal, semua penyedia terdengar sama meyakinkan dan yang termurah tampak paling menggoda. Konsekuensinya, entah penagihan estimasi,</w:t>
      </w:r>
      <w:r>
        <w:t xml:space="preserve"> </w:t>
      </w:r>
      <w:r>
        <w:rPr>
          <w:i/>
          <w:iCs/>
        </w:rPr>
        <w:t xml:space="preserve">downtime</w:t>
      </w:r>
      <w:r>
        <w:t xml:space="preserve"> </w:t>
      </w:r>
      <w:r>
        <w:t xml:space="preserve">tanpa kompensasi, atau izin yang ternyata kedaluwarsa, baru terasa setelah operasional berjalan dan ganti penyedia sudah mahal.</w:t>
      </w:r>
    </w:p>
    <w:p>
      <w:pPr>
        <w:pStyle w:val="BodyText"/>
      </w:pPr>
      <w:r>
        <w:t xml:space="preserve">Inilah inti masalahnya: kontrak pasokan gas adalah komitmen jangka menengah, sementara kerusakannya muncul di luar momen tanda tangan. Penghematan yang sering disebut, kisaran 15–40% tergantung bahan bakar acuan dan profil konsumsi, hanya terwujud kalau pasokan andal dan pengukurannya akurat. Tanpa itu,</w:t>
      </w:r>
      <w:r>
        <w:t xml:space="preserve"> </w:t>
      </w:r>
      <w:r>
        <w:t xml:space="preserve">“harga murah”</w:t>
      </w:r>
      <w:r>
        <w:t xml:space="preserve"> </w:t>
      </w:r>
      <w:r>
        <w:t xml:space="preserve">di kertas berubah jadi biaya tak terduga.</w:t>
      </w:r>
    </w:p>
    <w:bookmarkEnd w:id="18"/>
    <w:bookmarkStart w:id="19" w:name="X92751e523e0f121477d7a86163825c5b0e3dc22"/>
    <w:p>
      <w:pPr>
        <w:pStyle w:val="Heading2"/>
      </w:pPr>
      <w:r>
        <w:t xml:space="preserve">7 kesalahan umum saat memilih perusahaan CNG</w:t>
      </w:r>
    </w:p>
    <w:p>
      <w:pPr>
        <w:pStyle w:val="FirstParagraph"/>
      </w:pPr>
      <w:r>
        <w:t xml:space="preserve">Tujuh kesalahan ini muncul berulang pada pembeli B2B yang baru pertama beralih ke gas bumi. Polanya hampir selalu sama: keputusan diambil dari satu angka (harga gas) atau satu kesan (penyedia tampak besar), bukan dari pemeriksaan menyeluruh. Tabel berikut merangkum masing-masing kesalahan, akibatnya, dan cara menghindarinya.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Kesalahan</w:t>
            </w:r>
          </w:p>
        </w:tc>
        <w:tc>
          <w:tcPr/>
          <w:p>
            <w:pPr>
              <w:pStyle w:val="Compact"/>
            </w:pPr>
            <w:r>
              <w:t xml:space="preserve">Akibat di lapangan</w:t>
            </w:r>
          </w:p>
        </w:tc>
        <w:tc>
          <w:tcPr/>
          <w:p>
            <w:pPr>
              <w:pStyle w:val="Compact"/>
            </w:pPr>
            <w:r>
              <w:t xml:space="preserve">Cara menghindari</w:t>
            </w:r>
          </w:p>
        </w:tc>
      </w:tr>
      <w:tr>
        <w:tc>
          <w:tcPr/>
          <w:p>
            <w:pPr>
              <w:pStyle w:val="Compact"/>
            </w:pPr>
            <w:r>
              <w:t xml:space="preserve">1</w:t>
            </w:r>
          </w:p>
        </w:tc>
        <w:tc>
          <w:tcPr/>
          <w:p>
            <w:pPr>
              <w:pStyle w:val="Compact"/>
            </w:pPr>
            <w:r>
              <w:t xml:space="preserve">Terpaku harga gas (</w:t>
            </w:r>
            <w:r>
              <w:rPr>
                <w:i/>
                <w:iCs/>
              </w:rPr>
              <w:t xml:space="preserve">headline price</w:t>
            </w:r>
            <w:r>
              <w:t xml:space="preserve">), abai</w:t>
            </w:r>
            <w:r>
              <w:t xml:space="preserve"> </w:t>
            </w:r>
            <w:r>
              <w:rPr>
                <w:i/>
                <w:iCs/>
              </w:rPr>
              <w:t xml:space="preserve">Total Cost of Ownership</w:t>
            </w:r>
            <w:r>
              <w:t xml:space="preserve"> </w:t>
            </w:r>
            <w:r>
              <w:t xml:space="preserve">(TCO)</w:t>
            </w:r>
          </w:p>
        </w:tc>
        <w:tc>
          <w:tcPr/>
          <w:p>
            <w:pPr>
              <w:pStyle w:val="Compact"/>
            </w:pPr>
            <w:r>
              <w:t xml:space="preserve">Biaya instalasi, penalti keluar kontrak, dan penagihan estimasi menggerus penghematan awal; downtime karena SLA lemah berarti kerugian produksi.</w:t>
            </w:r>
          </w:p>
        </w:tc>
        <w:tc>
          <w:tcPr/>
          <w:p>
            <w:pPr>
              <w:pStyle w:val="Compact"/>
            </w:pPr>
            <w:r>
              <w:t xml:space="preserve">Hitung TCO utuh, bukan harga gas saja. Tanyakan: telemetri aktual atau estimasi?</w:t>
            </w:r>
          </w:p>
        </w:tc>
      </w:tr>
      <w:tr>
        <w:tc>
          <w:tcPr/>
          <w:p>
            <w:pPr>
              <w:pStyle w:val="Compact"/>
            </w:pPr>
            <w:r>
              <w:t xml:space="preserve">2</w:t>
            </w:r>
          </w:p>
        </w:tc>
        <w:tc>
          <w:tcPr/>
          <w:p>
            <w:pPr>
              <w:pStyle w:val="Compact"/>
            </w:pPr>
            <w:r>
              <w:t xml:space="preserve">Tidak memverifikasi legalitas izin niaga</w:t>
            </w:r>
          </w:p>
        </w:tc>
        <w:tc>
          <w:tcPr/>
          <w:p>
            <w:pPr>
              <w:pStyle w:val="Compact"/>
            </w:pPr>
            <w:r>
              <w:t xml:space="preserve">Pasokan bisa terhenti sewaktu-waktu bila izin bermasalah, dan perlindungan hukum pembeli lemah.</w:t>
            </w:r>
          </w:p>
        </w:tc>
        <w:tc>
          <w:tcPr/>
          <w:p>
            <w:pPr>
              <w:pStyle w:val="Compact"/>
            </w:pPr>
            <w:r>
              <w:t xml:space="preserve">Minta salinan IUN dari Kementerian ESDM; verifikasi di perizinan.esdm.go.id.</w:t>
            </w:r>
          </w:p>
        </w:tc>
      </w:tr>
      <w:tr>
        <w:tc>
          <w:tcPr/>
          <w:p>
            <w:pPr>
              <w:pStyle w:val="Compact"/>
            </w:pPr>
            <w:r>
              <w:t xml:space="preserve">3</w:t>
            </w:r>
          </w:p>
        </w:tc>
        <w:tc>
          <w:tcPr/>
          <w:p>
            <w:pPr>
              <w:pStyle w:val="Compact"/>
            </w:pPr>
            <w:r>
              <w:t xml:space="preserve">Mengabaikan sertifikasi keselamatan</w:t>
            </w:r>
          </w:p>
        </w:tc>
        <w:tc>
          <w:tcPr/>
          <w:p>
            <w:pPr>
              <w:pStyle w:val="Compact"/>
            </w:pPr>
            <w:r>
              <w:t xml:space="preserve">Instalasi tak sesuai standar K3; risiko kebocoran atau gagal inspeksi terbawa ke lokasi Anda.</w:t>
            </w:r>
          </w:p>
        </w:tc>
        <w:tc>
          <w:tcPr/>
          <w:p>
            <w:pPr>
              <w:pStyle w:val="Compact"/>
            </w:pPr>
            <w:r>
              <w:t xml:space="preserve">Minta bukti ISO 45001:2018 dan kepatuhan inspeksi berkala; tanyakan tim K3-nya.</w:t>
            </w:r>
          </w:p>
        </w:tc>
      </w:tr>
      <w:tr>
        <w:tc>
          <w:tcPr/>
          <w:p>
            <w:pPr>
              <w:pStyle w:val="Compact"/>
            </w:pPr>
            <w:r>
              <w:t xml:space="preserve">4</w:t>
            </w:r>
          </w:p>
        </w:tc>
        <w:tc>
          <w:tcPr/>
          <w:p>
            <w:pPr>
              <w:pStyle w:val="Compact"/>
            </w:pPr>
            <w:r>
              <w:t xml:space="preserve">Tidak menanyakan keandalan pasok dan redundansi</w:t>
            </w:r>
          </w:p>
        </w:tc>
        <w:tc>
          <w:tcPr/>
          <w:p>
            <w:pPr>
              <w:pStyle w:val="Compact"/>
            </w:pPr>
            <w:r>
              <w:t xml:space="preserve">Saat permintaan puncak atau satu titik terganggu, tak ada cadangan; gas bisa habis di tengah operasional.</w:t>
            </w:r>
          </w:p>
        </w:tc>
        <w:tc>
          <w:tcPr/>
          <w:p>
            <w:pPr>
              <w:pStyle w:val="Compact"/>
            </w:pPr>
            <w:r>
              <w:t xml:space="preserve">Tanyakan mekanisme redundansi dan minta SLA tertulis berklausul downtime.</w:t>
            </w:r>
          </w:p>
        </w:tc>
      </w:tr>
      <w:tr>
        <w:tc>
          <w:tcPr/>
          <w:p>
            <w:pPr>
              <w:pStyle w:val="Compact"/>
            </w:pPr>
            <w:r>
              <w:t xml:space="preserve">5</w:t>
            </w:r>
          </w:p>
        </w:tc>
        <w:tc>
          <w:tcPr/>
          <w:p>
            <w:pPr>
              <w:pStyle w:val="Compact"/>
            </w:pPr>
            <w:r>
              <w:t xml:space="preserve">Mengabaikan dukungan teknis purnajual</w:t>
            </w:r>
          </w:p>
        </w:tc>
        <w:tc>
          <w:tcPr/>
          <w:p>
            <w:pPr>
              <w:pStyle w:val="Compact"/>
            </w:pPr>
            <w:r>
              <w:t xml:space="preserve">Gangguan di luar jam kerja tak tertangani; biaya perbaikan dibebankan tanpa dasar yang jelas.</w:t>
            </w:r>
          </w:p>
        </w:tc>
        <w:tc>
          <w:tcPr/>
          <w:p>
            <w:pPr>
              <w:pStyle w:val="Compact"/>
            </w:pPr>
            <w:r>
              <w:t xml:space="preserve">Minta dokumen SLA: jam layanan, waktu respons, cakupan pemeliharaan.</w:t>
            </w:r>
          </w:p>
        </w:tc>
      </w:tr>
      <w:tr>
        <w:tc>
          <w:tcPr/>
          <w:p>
            <w:pPr>
              <w:pStyle w:val="Compact"/>
            </w:pPr>
            <w:r>
              <w:t xml:space="preserve">6</w:t>
            </w:r>
          </w:p>
        </w:tc>
        <w:tc>
          <w:tcPr/>
          <w:p>
            <w:pPr>
              <w:pStyle w:val="Compact"/>
            </w:pPr>
            <w:r>
              <w:t xml:space="preserve">Salah menghitung kebutuhan konsumsi</w:t>
            </w:r>
          </w:p>
        </w:tc>
        <w:tc>
          <w:tcPr/>
          <w:p>
            <w:pPr>
              <w:pStyle w:val="Compact"/>
            </w:pPr>
            <w:r>
              <w:rPr>
                <w:i/>
                <w:iCs/>
              </w:rPr>
              <w:t xml:space="preserve">Undersizing</w:t>
            </w:r>
            <w:r>
              <w:t xml:space="preserve"> </w:t>
            </w:r>
            <w:r>
              <w:t xml:space="preserve">membuat kontrak tak ekonomis;</w:t>
            </w:r>
            <w:r>
              <w:t xml:space="preserve"> </w:t>
            </w:r>
            <w:r>
              <w:rPr>
                <w:i/>
                <w:iCs/>
              </w:rPr>
              <w:t xml:space="preserve">oversizing</w:t>
            </w:r>
            <w:r>
              <w:t xml:space="preserve"> </w:t>
            </w:r>
            <w:r>
              <w:t xml:space="preserve">menjebak Anda pada volume minimum yang tak terserap.</w:t>
            </w:r>
          </w:p>
        </w:tc>
        <w:tc>
          <w:tcPr/>
          <w:p>
            <w:pPr>
              <w:pStyle w:val="Compact"/>
            </w:pPr>
            <w:r>
              <w:t xml:space="preserve">Hitung kalori riil semua peralatan, lalu minta penyedia bantu simulasi sebelum tanda tangan.</w:t>
            </w:r>
          </w:p>
        </w:tc>
      </w:tr>
      <w:tr>
        <w:tc>
          <w:tcPr/>
          <w:p>
            <w:pPr>
              <w:pStyle w:val="Compact"/>
            </w:pPr>
            <w:r>
              <w:t xml:space="preserve">7</w:t>
            </w:r>
          </w:p>
        </w:tc>
        <w:tc>
          <w:tcPr/>
          <w:p>
            <w:pPr>
              <w:pStyle w:val="Compact"/>
            </w:pPr>
            <w:r>
              <w:t xml:space="preserve">Tidak mengecek rekam jejak dan ekosistem pasok</w:t>
            </w:r>
          </w:p>
        </w:tc>
        <w:tc>
          <w:tcPr/>
          <w:p>
            <w:pPr>
              <w:pStyle w:val="Compact"/>
            </w:pPr>
            <w:r>
              <w:t xml:space="preserve">Penyedia tanpa kontrak hulu jangka panjang rentan kurang alokasi di bulan tertentu.</w:t>
            </w:r>
          </w:p>
        </w:tc>
        <w:tc>
          <w:tcPr/>
          <w:p>
            <w:pPr>
              <w:pStyle w:val="Compact"/>
            </w:pPr>
            <w:r>
              <w:t xml:space="preserve">Tanyakan lama beroperasi, jumlah pelanggan, sumber gas; minta 2–3 referensi.</w:t>
            </w:r>
          </w:p>
        </w:tc>
      </w:tr>
    </w:tbl>
    <w:p>
      <w:pPr>
        <w:pStyle w:val="BodyText"/>
      </w:pPr>
      <w:r>
        <w:t xml:space="preserve">Perhatikan benang merahnya: hampir setiap kesalahan bisa dicegah dengan satu kebiasaan, yaitu meminta dokumen dan angka, bukan menerima janji lisan. Penyedia yang kredibel tidak akan keberatan menunjukkannya.</w:t>
      </w:r>
    </w:p>
    <w:bookmarkEnd w:id="19"/>
    <w:bookmarkStart w:id="20" w:name="X08e412b4ff7c5fb4c26a1f32f060e66862922ba"/>
    <w:p>
      <w:pPr>
        <w:pStyle w:val="Heading2"/>
      </w:pPr>
      <w:r>
        <w:t xml:space="preserve">Jebakan</w:t>
      </w:r>
      <w:r>
        <w:t xml:space="preserve"> </w:t>
      </w:r>
      <w:r>
        <w:t xml:space="preserve">“harga termurah”</w:t>
      </w:r>
      <w:r>
        <w:t xml:space="preserve">: apa yang sebenarnya Anda korbankan</w:t>
      </w:r>
    </w:p>
    <w:p>
      <w:pPr>
        <w:pStyle w:val="FirstParagraph"/>
      </w:pPr>
      <w:r>
        <w:t xml:space="preserve">Harga gas per MMBTU hanyalah satu komponen biaya. Penyedia termurah bisa jadi pilihan sah jika harganya disertai transparansi; masalahnya,</w:t>
      </w:r>
      <w:r>
        <w:t xml:space="preserve"> </w:t>
      </w:r>
      <w:r>
        <w:t xml:space="preserve">“termurah tanpa konteks”</w:t>
      </w:r>
      <w:r>
        <w:t xml:space="preserve"> </w:t>
      </w:r>
      <w:r>
        <w:t xml:space="preserve">kerap menyembunyikan tiga ongkos: penagihan estimasi (tanpa telemetri), downtime tak terkompensasi (tanpa SLA), dan biaya keluar kontrak. Itulah sebabnya total biaya kepemilikan, bukan harga</w:t>
      </w:r>
      <w:r>
        <w:t xml:space="preserve"> </w:t>
      </w:r>
      <w:r>
        <w:rPr>
          <w:i/>
          <w:iCs/>
        </w:rPr>
        <w:t xml:space="preserve">headline</w:t>
      </w:r>
      <w:r>
        <w:t xml:space="preserve">, yang menentukan ekonomi sebenarnya.</w:t>
      </w:r>
    </w:p>
    <w:p>
      <w:pPr>
        <w:pStyle w:val="BodyText"/>
      </w:pPr>
      <w:r>
        <w:t xml:space="preserve">Ambil contoh ilustratif. Sebuah penyedia menawarkan harga gas 8% lebih murah, tetapi menagih berdasarkan estimasi karena tak memasang meter aktual. Selisih volume beberapa persen saja sudah bisa menghapus penghematan 8% itu, dan Anda tak punya cara membuktikannya. Tambahkan satu insiden pasokan terhenti tanpa cadangan, dan selisih harga gas tadi pun jadi tak berarti; sebagai gambaran umum di manufaktur, downtime dapat menurunkan output beberapa persen selama periode terganggu (estimasi dampak industri, bukan angka khusus gangguan gas).</w:t>
      </w:r>
    </w:p>
    <w:p>
      <w:pPr>
        <w:pStyle w:val="BodyText"/>
      </w:pPr>
      <w:r>
        <w:t xml:space="preserve">Maka, saat membandingkan penawaran, hitung TCO secara utuh: harga gas, instalasi, sistem pengukuran, klausul keluar kontrak, dan risiko downtime. Penyedia yang transparan akan merincikannya; yang menghindar adalah sinyal yang patut Anda baca.</w:t>
      </w:r>
    </w:p>
    <w:p>
      <w:pPr>
        <w:pStyle w:val="BodyText"/>
      </w:pPr>
      <w:r>
        <w:rPr>
          <w:i/>
          <w:iCs/>
        </w:rPr>
        <w:t xml:space="preserve">[Image 02: Diagram perbandingan dua kolom bergaya</w:t>
      </w:r>
      <w:r>
        <w:rPr>
          <w:i/>
          <w:iCs/>
        </w:rPr>
        <w:t xml:space="preserve"> </w:t>
      </w:r>
      <w:r>
        <w:rPr>
          <w:i/>
          <w:iCs/>
        </w:rPr>
        <w:t xml:space="preserve">“brosur pembeli”</w:t>
      </w:r>
      <w:r>
        <w:rPr>
          <w:i/>
          <w:iCs/>
        </w:rPr>
        <w:t xml:space="preserve"> </w:t>
      </w:r>
      <w:r>
        <w:rPr>
          <w:i/>
          <w:iCs/>
        </w:rPr>
        <w:t xml:space="preserve">— kiri</w:t>
      </w:r>
      <w:r>
        <w:rPr>
          <w:i/>
          <w:iCs/>
        </w:rPr>
        <w:t xml:space="preserve"> </w:t>
      </w:r>
      <w:r>
        <w:rPr>
          <w:i/>
          <w:iCs/>
        </w:rPr>
        <w:t xml:space="preserve">“Harga Gas Saja (headline price)”</w:t>
      </w:r>
      <w:r>
        <w:rPr>
          <w:i/>
          <w:iCs/>
        </w:rPr>
        <w:t xml:space="preserve"> </w:t>
      </w:r>
      <w:r>
        <w:rPr>
          <w:i/>
          <w:iCs/>
        </w:rPr>
        <w:t xml:space="preserve">hanya menampilkan satu ikon harga; kanan</w:t>
      </w:r>
      <w:r>
        <w:rPr>
          <w:i/>
          <w:iCs/>
        </w:rPr>
        <w:t xml:space="preserve"> </w:t>
      </w:r>
      <w:r>
        <w:rPr>
          <w:i/>
          <w:iCs/>
        </w:rPr>
        <w:t xml:space="preserve">“Total Cost of Ownership”</w:t>
      </w:r>
      <w:r>
        <w:rPr>
          <w:i/>
          <w:iCs/>
        </w:rPr>
        <w:t xml:space="preserve"> </w:t>
      </w:r>
      <w:r>
        <w:rPr>
          <w:i/>
          <w:iCs/>
        </w:rPr>
        <w:t xml:space="preserve">menumpuk ikon harga gas + instalasi + downtime + biaya keluar kontrak hingga balok jauh lebih tinggi. Pesan visual: yang</w:t>
      </w:r>
      <w:r>
        <w:rPr>
          <w:i/>
          <w:iCs/>
        </w:rPr>
        <w:t xml:space="preserve"> </w:t>
      </w:r>
      <w:r>
        <w:rPr>
          <w:i/>
          <w:iCs/>
        </w:rPr>
        <w:t xml:space="preserve">“termurah”</w:t>
      </w:r>
      <w:r>
        <w:rPr>
          <w:i/>
          <w:iCs/>
        </w:rPr>
        <w:t xml:space="preserve"> </w:t>
      </w:r>
      <w:r>
        <w:rPr>
          <w:i/>
          <w:iCs/>
        </w:rPr>
        <w:t xml:space="preserve">bisa jadi lebih mahal. Palet hijau-biru, teks Bahasa Indonesia.]</w:t>
      </w:r>
    </w:p>
    <w:bookmarkEnd w:id="20"/>
    <w:bookmarkStart w:id="21" w:name="Xb67a4c3fff65d93a2718e5f170770b8d099bbb5"/>
    <w:p>
      <w:pPr>
        <w:pStyle w:val="Heading2"/>
      </w:pPr>
      <w:r>
        <w:t xml:space="preserve">Bagaimana cara mengecek legalitas dan rekam jejak sebuah penyedia CNG?</w:t>
      </w:r>
    </w:p>
    <w:p>
      <w:pPr>
        <w:pStyle w:val="FirstParagraph"/>
      </w:pPr>
      <w:r>
        <w:t xml:space="preserve">Verifikasi legalitas dimulai dengan satu permintaan sederhana: salinan Izin Usaha Niaga (IUN) Minyak dan Gas Bumi yang diterbitkan Kementerian ESDM. Untuk penyedia yang mengoperasikan jaringan distribusi pipa, ada instrumen kedua, yaitu Hak Khusus dari BPH Migas. Berdasarkan Permen ESDM No. 4/2018, IUN dapat berlaku hingga 20 tahun dan diajukan melalui portal perizinan.esdm.go.id (Kementerian ESDM, 2018).</w:t>
      </w:r>
    </w:p>
    <w:p>
      <w:pPr>
        <w:pStyle w:val="BodyText"/>
      </w:pPr>
      <w:r>
        <w:t xml:space="preserve">Setelah legalitas, periksa keselamatan dan rekam jejak. Inspeksi teknis instalasi migas wajib dilakukan berkala, sehingga sertifikasi bukan formalitas opsional (Permen ESDM No. 32/2021). Gunakan daftar singkat berikut sebelum menandatangani apa pun:</w:t>
      </w:r>
    </w:p>
    <w:p>
      <w:pPr>
        <w:pStyle w:val="Compact"/>
        <w:numPr>
          <w:ilvl w:val="0"/>
          <w:numId w:val="1001"/>
        </w:numPr>
      </w:pPr>
      <w:r>
        <w:rPr>
          <w:b/>
          <w:bCs/>
        </w:rPr>
        <w:t xml:space="preserve">Izin Usaha Niaga (IUN)</w:t>
      </w:r>
      <w:r>
        <w:t xml:space="preserve"> </w:t>
      </w:r>
      <w:r>
        <w:t xml:space="preserve">dari Kementerian ESDM, aktif dan belum kedaluwarsa.</w:t>
      </w:r>
    </w:p>
    <w:p>
      <w:pPr>
        <w:pStyle w:val="Compact"/>
        <w:numPr>
          <w:ilvl w:val="0"/>
          <w:numId w:val="1001"/>
        </w:numPr>
      </w:pPr>
      <w:r>
        <w:rPr>
          <w:b/>
          <w:bCs/>
        </w:rPr>
        <w:t xml:space="preserve">Hak Khusus BPH Migas</w:t>
      </w:r>
      <w:r>
        <w:t xml:space="preserve">, jika penyedia mengoperasikan jaringan distribusi.</w:t>
      </w:r>
    </w:p>
    <w:p>
      <w:pPr>
        <w:pStyle w:val="Compact"/>
        <w:numPr>
          <w:ilvl w:val="0"/>
          <w:numId w:val="1001"/>
        </w:numPr>
      </w:pPr>
      <w:r>
        <w:rPr>
          <w:b/>
          <w:bCs/>
        </w:rPr>
        <w:t xml:space="preserve">Sertifikat ISO 45001:2018</w:t>
      </w:r>
      <w:r>
        <w:t xml:space="preserve"> </w:t>
      </w:r>
      <w:r>
        <w:t xml:space="preserve">(Sistem Manajemen K3); minta salinan yang masih berlaku.</w:t>
      </w:r>
    </w:p>
    <w:p>
      <w:pPr>
        <w:pStyle w:val="Compact"/>
        <w:numPr>
          <w:ilvl w:val="0"/>
          <w:numId w:val="1001"/>
        </w:numPr>
      </w:pPr>
      <w:r>
        <w:rPr>
          <w:b/>
          <w:bCs/>
        </w:rPr>
        <w:t xml:space="preserve">Bukti kepatuhan inspeksi berkala</w:t>
      </w:r>
      <w:r>
        <w:t xml:space="preserve"> </w:t>
      </w:r>
      <w:r>
        <w:t xml:space="preserve">instalasi migas (Permen ESDM No. 32/2021).</w:t>
      </w:r>
    </w:p>
    <w:p>
      <w:pPr>
        <w:pStyle w:val="Compact"/>
        <w:numPr>
          <w:ilvl w:val="0"/>
          <w:numId w:val="1001"/>
        </w:numPr>
      </w:pPr>
      <w:r>
        <w:rPr>
          <w:b/>
          <w:bCs/>
        </w:rPr>
        <w:t xml:space="preserve">Rekam jejak</w:t>
      </w:r>
      <w:r>
        <w:t xml:space="preserve">: lama beroperasi, jumlah pelanggan industri aktif, dan sumber gas hulu.</w:t>
      </w:r>
    </w:p>
    <w:p>
      <w:pPr>
        <w:pStyle w:val="Compact"/>
        <w:numPr>
          <w:ilvl w:val="0"/>
          <w:numId w:val="1001"/>
        </w:numPr>
      </w:pPr>
      <w:r>
        <w:rPr>
          <w:b/>
          <w:bCs/>
        </w:rPr>
        <w:t xml:space="preserve">Referensi</w:t>
      </w:r>
      <w:r>
        <w:t xml:space="preserve">: 2–3 pelanggan industri sejenis yang bisa dihubungi langsung.</w:t>
      </w:r>
    </w:p>
    <w:p>
      <w:pPr>
        <w:pStyle w:val="FirstParagraph"/>
      </w:pPr>
      <w:r>
        <w:t xml:space="preserve">Sebagai gambaran, penyedia yang berada dalam ekosistem PGN/Subholding Gas Pertamina umumnya dapat menunjukkan IUN dan sertifikasi tersebut. Ini bukan berarti hanya mereka yang sah, melainkan contoh jenis bukti yang patut Anda minta dari penyedia mana pun.</w:t>
      </w:r>
    </w:p>
    <w:bookmarkEnd w:id="21"/>
    <w:bookmarkStart w:id="23" w:name="Xdd3e77a0193b87b91f6f8a034e1ef5aa0967668"/>
    <w:p>
      <w:pPr>
        <w:pStyle w:val="Heading2"/>
      </w:pPr>
      <w:r>
        <w:t xml:space="preserve">Kesalahan dari sisi pembeli sendiri (yang jarang diakui)</w:t>
      </w:r>
    </w:p>
    <w:p>
      <w:pPr>
        <w:pStyle w:val="FirstParagraph"/>
      </w:pPr>
      <w:r>
        <w:t xml:space="preserve">Tidak semua kegagalan kontrak berasal dari penyedia. Sebagian justru dimulai dari pembeli yang tidak menyiapkan dasar dengan benar, lalu menyalahkan vendor saat hasilnya meleset. Mengakuinya tidak nyaman, tetapi inilah bagian yang paling menentukan keberhasilan beralih ke gas bumi.</w:t>
      </w:r>
    </w:p>
    <w:p>
      <w:pPr>
        <w:pStyle w:val="BodyText"/>
      </w:pPr>
      <w:r>
        <w:t xml:space="preserve">Empat kesalahan sisi pembeli yang paling sering ditemui:</w:t>
      </w:r>
    </w:p>
    <w:p>
      <w:pPr>
        <w:pStyle w:val="Compact"/>
        <w:numPr>
          <w:ilvl w:val="0"/>
          <w:numId w:val="1002"/>
        </w:numPr>
      </w:pPr>
      <w:r>
        <w:rPr>
          <w:b/>
          <w:bCs/>
        </w:rPr>
        <w:t xml:space="preserve">Tidak menghitung kebutuhan secara riil.</w:t>
      </w:r>
      <w:r>
        <w:t xml:space="preserve"> </w:t>
      </w:r>
      <w:r>
        <w:t xml:space="preserve">Menebak konsumsi tanpa menjumlahkan kalori dari kompor industri,</w:t>
      </w:r>
      <w:r>
        <w:t xml:space="preserve"> </w:t>
      </w:r>
      <w:r>
        <w:rPr>
          <w:i/>
          <w:iCs/>
        </w:rPr>
        <w:t xml:space="preserve">boiler</w:t>
      </w:r>
      <w:r>
        <w:t xml:space="preserve">, dan</w:t>
      </w:r>
      <w:r>
        <w:t xml:space="preserve"> </w:t>
      </w:r>
      <w:r>
        <w:rPr>
          <w:i/>
          <w:iCs/>
        </w:rPr>
        <w:t xml:space="preserve">burner</w:t>
      </w:r>
      <w:r>
        <w:t xml:space="preserve"> </w:t>
      </w:r>
      <w:r>
        <w:t xml:space="preserve">membuat kontrak salah ukuran sejak awal.</w:t>
      </w:r>
    </w:p>
    <w:p>
      <w:pPr>
        <w:pStyle w:val="Compact"/>
        <w:numPr>
          <w:ilvl w:val="0"/>
          <w:numId w:val="1002"/>
        </w:numPr>
      </w:pPr>
      <w:r>
        <w:rPr>
          <w:b/>
          <w:bCs/>
        </w:rPr>
        <w:t xml:space="preserve">Menandatangani tanpa membaca klausul.</w:t>
      </w:r>
      <w:r>
        <w:t xml:space="preserve"> </w:t>
      </w:r>
      <w:r>
        <w:t xml:space="preserve">Syarat volume minimum, denda keluar kontrak, dan mekanisme sengketa tagihan sering terlewat, padahal di situlah kerugian tersembunyi.</w:t>
      </w:r>
    </w:p>
    <w:p>
      <w:pPr>
        <w:pStyle w:val="Compact"/>
        <w:numPr>
          <w:ilvl w:val="0"/>
          <w:numId w:val="1002"/>
        </w:numPr>
      </w:pPr>
      <w:r>
        <w:rPr>
          <w:b/>
          <w:bCs/>
        </w:rPr>
        <w:t xml:space="preserve">Tidak menyiapkan lokasi dan SDM K3.</w:t>
      </w:r>
      <w:r>
        <w:t xml:space="preserve"> </w:t>
      </w:r>
      <w:r>
        <w:t xml:space="preserve">Akses pengiriman gas, ruang instalasi, dan penanggung jawab keselamatan perlu disiapkan sebelum komisioning, bukan sesudahnya.</w:t>
      </w:r>
    </w:p>
    <w:p>
      <w:pPr>
        <w:pStyle w:val="Compact"/>
        <w:numPr>
          <w:ilvl w:val="0"/>
          <w:numId w:val="1002"/>
        </w:numPr>
      </w:pPr>
      <w:r>
        <w:rPr>
          <w:b/>
          <w:bCs/>
        </w:rPr>
        <w:t xml:space="preserve">Berekspektasi</w:t>
      </w:r>
      <w:r>
        <w:rPr>
          <w:b/>
          <w:bCs/>
        </w:rPr>
        <w:t xml:space="preserve"> </w:t>
      </w:r>
      <w:r>
        <w:rPr>
          <w:b/>
          <w:bCs/>
        </w:rPr>
        <w:t xml:space="preserve">“pasti hemat”</w:t>
      </w:r>
      <w:r>
        <w:rPr>
          <w:b/>
          <w:bCs/>
        </w:rPr>
        <w:t xml:space="preserve">.</w:t>
      </w:r>
      <w:r>
        <w:t xml:space="preserve"> </w:t>
      </w:r>
      <w:r>
        <w:t xml:space="preserve">Tanpa</w:t>
      </w:r>
      <w:r>
        <w:t xml:space="preserve"> </w:t>
      </w:r>
      <w:r>
        <w:rPr>
          <w:i/>
          <w:iCs/>
        </w:rPr>
        <w:t xml:space="preserve">baseline</w:t>
      </w:r>
      <w:r>
        <w:t xml:space="preserve"> </w:t>
      </w:r>
      <w:r>
        <w:t xml:space="preserve">konsumsi yang jelas, penghematan tak bisa diukur. Angka 30–40% lebih murah dari LPG yang disebut pejabat ESDM adalah rata-rata simulasi (Kontan, Mei 2026); hasil aktual bergantung pada bahan bakar yang digantikan.</w:t>
      </w:r>
    </w:p>
    <w:p>
      <w:pPr>
        <w:pStyle w:val="FirstParagraph"/>
      </w:pPr>
      <w:r>
        <w:t xml:space="preserve">Disiplin ini tak hanya berlaku untuk pelanggan industri besar. Pada segmen transportasi pun, misalnya pengelola armada yang mempertimbangkan</w:t>
      </w:r>
      <w:r>
        <w:t xml:space="preserve"> </w:t>
      </w:r>
      <w:hyperlink r:id="rId22">
        <w:r>
          <w:rPr>
            <w:rStyle w:val="Hyperlink"/>
          </w:rPr>
          <w:t xml:space="preserve">Gasku untuk transportasi</w:t>
        </w:r>
      </w:hyperlink>
      <w:r>
        <w:t xml:space="preserve">, polanya sama: hitung kebutuhan, baca kontrak, siapkan operasional.</w:t>
      </w:r>
    </w:p>
    <w:p>
      <w:pPr>
        <w:pStyle w:val="BodyText"/>
      </w:pPr>
      <w:r>
        <w:rPr>
          <w:i/>
          <w:iCs/>
        </w:rPr>
        <w:t xml:space="preserve">[Image 03: Diagram alur (flowchart) sederhana</w:t>
      </w:r>
      <w:r>
        <w:rPr>
          <w:i/>
          <w:iCs/>
        </w:rPr>
        <w:t xml:space="preserve"> </w:t>
      </w:r>
      <w:r>
        <w:rPr>
          <w:i/>
          <w:iCs/>
        </w:rPr>
        <w:t xml:space="preserve">“Verifikasi Penyedia CNG Sebelum Tanda Tangan”</w:t>
      </w:r>
      <w:r>
        <w:rPr>
          <w:i/>
          <w:iCs/>
        </w:rPr>
        <w:t xml:space="preserve"> </w:t>
      </w:r>
      <w:r>
        <w:rPr>
          <w:i/>
          <w:iCs/>
        </w:rPr>
        <w:t xml:space="preserve">— kotak berurutan: Hitung Kebutuhan Riil → Minta Dokumen IUN → Cek di perizinan.esdm.go.id → Tanya Hak Khusus &amp; ISO 45001 → Minta SLA Tertulis → Validasi Referensi Pelanggan → Siap Tanda Tangan. Gaya decision-tree bersih, ikon per langkah, palet biru-hijau, teks Bahasa Indonesia.]</w:t>
      </w:r>
    </w:p>
    <w:bookmarkEnd w:id="23"/>
    <w:bookmarkStart w:id="30" w:name="faq-pertanyaan-yang-sering-diajukan"/>
    <w:p>
      <w:pPr>
        <w:pStyle w:val="Heading2"/>
      </w:pPr>
      <w:r>
        <w:t xml:space="preserve">FAQ (Pertanyaan yang Sering Diajukan)</w:t>
      </w:r>
    </w:p>
    <w:bookmarkStart w:id="24" w:name="Xe9ddcbcaebde1b21cfdff9b6a805877b22f776f"/>
    <w:p>
      <w:pPr>
        <w:pStyle w:val="Heading3"/>
      </w:pPr>
      <w:r>
        <w:t xml:space="preserve">Apa kesalahan paling umum saat memilih perusahaan CNG Indonesia?</w:t>
      </w:r>
    </w:p>
    <w:p>
      <w:pPr>
        <w:pStyle w:val="FirstParagraph"/>
      </w:pPr>
      <w:r>
        <w:t xml:space="preserve">Kesalahan paling sering adalah terpaku pada harga gas termurah tanpa memperhitungkan total biaya kepemilikan (TCO): biaya instalasi, sistem penagihan, klausul kontrak, dan risiko</w:t>
      </w:r>
      <w:r>
        <w:t xml:space="preserve"> </w:t>
      </w:r>
      <w:r>
        <w:rPr>
          <w:i/>
          <w:iCs/>
        </w:rPr>
        <w:t xml:space="preserve">downtime</w:t>
      </w:r>
      <w:r>
        <w:t xml:space="preserve">. Kesalahan yang hampir sama umum adalah tidak memverifikasi Izin Usaha Niaga (IUN) dari Kementerian ESDM, dokumen yang wajib dimiliki setiap penyedia niaga CNG legal di Indonesia.</w:t>
      </w:r>
    </w:p>
    <w:bookmarkEnd w:id="24"/>
    <w:bookmarkStart w:id="25" w:name="Xf226faabe28ba7041c163a03f31c739a2ae08e2"/>
    <w:p>
      <w:pPr>
        <w:pStyle w:val="Heading3"/>
      </w:pPr>
      <w:r>
        <w:t xml:space="preserve">Bagaimana cara mengecek legalitas penyedia CNG sebelum berlangganan?</w:t>
      </w:r>
    </w:p>
    <w:p>
      <w:pPr>
        <w:pStyle w:val="FirstParagraph"/>
      </w:pPr>
      <w:r>
        <w:t xml:space="preserve">Minta salinan Izin Usaha Niaga (IUN) Minyak dan Gas Bumi dari Kementerian ESDM, dan untuk penyedia jaringan distribusi pipa, tanyakan juga Hak Khusus BPH Migas. Verifikasi keabsahannya melalui portal perizinan.esdm.go.id. Berdasarkan Permen ESDM No. 4/2018, IUN dapat berlaku hingga 20 tahun, jadi pastikan izinnya masih aktif sebelum kontrak.</w:t>
      </w:r>
    </w:p>
    <w:bookmarkEnd w:id="25"/>
    <w:bookmarkStart w:id="26" w:name="X6a721a65e888e0cff4a5f9b5490b0fef44f0852"/>
    <w:p>
      <w:pPr>
        <w:pStyle w:val="Heading3"/>
      </w:pPr>
      <w:r>
        <w:t xml:space="preserve">Sertifikasi apa yang menandakan penyedia CNG kredibel dan aman?</w:t>
      </w:r>
    </w:p>
    <w:p>
      <w:pPr>
        <w:pStyle w:val="FirstParagraph"/>
      </w:pPr>
      <w:r>
        <w:t xml:space="preserve">Dua hal utama yang patut diminta. Pertama,</w:t>
      </w:r>
      <w:r>
        <w:t xml:space="preserve"> </w:t>
      </w:r>
      <w:r>
        <w:rPr>
          <w:b/>
          <w:bCs/>
        </w:rPr>
        <w:t xml:space="preserve">ISO 45001:2018</w:t>
      </w:r>
      <w:r>
        <w:t xml:space="preserve"> </w:t>
      </w:r>
      <w:r>
        <w:t xml:space="preserve">(Sistem Manajemen K3), standar internasional yang kritis untuk distribusi gas bertekanan tinggi. Kedua, kepatuhan terhadap kewajiban inspeksi teknis instalasi migas berkala (Permen ESDM No. 32/2021). Penyedia bereputasi umumnya juga memegang ISO 9001 untuk mutu layanan dan punya tim K3 internal.</w:t>
      </w:r>
    </w:p>
    <w:bookmarkEnd w:id="26"/>
    <w:bookmarkStart w:id="27" w:name="Xfe2f45af33005fd7846d1b4f645a6da4fc8898d"/>
    <w:p>
      <w:pPr>
        <w:pStyle w:val="Heading3"/>
      </w:pPr>
      <w:r>
        <w:t xml:space="preserve">Bagaimana memastikan pasokan CNG tetap stabil setelah berlangganan?</w:t>
      </w:r>
    </w:p>
    <w:p>
      <w:pPr>
        <w:pStyle w:val="FirstParagraph"/>
      </w:pPr>
      <w:r>
        <w:t xml:space="preserve">Tanyakan tiga hal: sumber gas hulu dan apakah ada kontrak jangka panjang; mekanisme redundansi bila satu unit pasokan bermasalah; serta SLA tertulis berisi klausul waktu respons dan kompensasi. SLA di sini adalah hal yang patut diminta pembeli, bukan standar yang diwajibkan regulasi, sehingga justru perlu Anda negosiasikan aktif sebelum tanda tangan.</w:t>
      </w:r>
    </w:p>
    <w:bookmarkEnd w:id="27"/>
    <w:bookmarkStart w:id="28" w:name="X05e1c9063e1ab296304dea452f28dd78fad1e2f"/>
    <w:p>
      <w:pPr>
        <w:pStyle w:val="Heading3"/>
      </w:pPr>
      <w:r>
        <w:t xml:space="preserve">Apakah ada syarat minimum pemakaian untuk berlangganan CNG?</w:t>
      </w:r>
    </w:p>
    <w:p>
      <w:pPr>
        <w:pStyle w:val="FirstParagraph"/>
      </w:pPr>
      <w:r>
        <w:t xml:space="preserve">Biasanya ada, dan ini sering terlewat calon pelanggan. Untuk format tabung entry-level, patokan publik yang pernah disebut adalah sekitar 300 m³ per bulan, cocok untuk usaha kecil-menengah berlahan terbatas. Untuk distribusi skala industri yang lebih besar, syarat minimumnya berbeda dan perlu dikonfirmasi langsung ke penyedia. Pastikan hitungan kebutuhan aktual Anda sesuai sebelum kontrak.</w:t>
      </w:r>
    </w:p>
    <w:bookmarkEnd w:id="28"/>
    <w:bookmarkStart w:id="29" w:name="X9a64764b402c8829956dfb4623fc68862005769"/>
    <w:p>
      <w:pPr>
        <w:pStyle w:val="Heading3"/>
      </w:pPr>
      <w:r>
        <w:t xml:space="preserve">Apa yang sebaiknya disiapkan pembeli sebelum tanda tangan kontrak CNG?</w:t>
      </w:r>
    </w:p>
    <w:p>
      <w:pPr>
        <w:pStyle w:val="FirstParagraph"/>
      </w:pPr>
      <w:r>
        <w:t xml:space="preserve">Setidaknya empat hal: hitung kebutuhan kalori riil dari semua peralatan (kompor industri, boiler, burner), bukan sekadar perkiraan; siapkan lokasi dan instalasi secara teknis; tunjuk penanggung jawab K3 untuk masa komisioning; dan baca klausul kontrak menyeluruh, terutama syarat minimum, denda keluar kontrak, dan mekanisme sengketa tagihan. Kesiapan pembeli sama menentukannya dengan kredibilitas penyedia.</w:t>
      </w:r>
    </w:p>
    <w:bookmarkEnd w:id="29"/>
    <w:bookmarkEnd w:id="30"/>
    <w:bookmarkStart w:id="32" w:name="kesimpulan"/>
    <w:p>
      <w:pPr>
        <w:pStyle w:val="Heading2"/>
      </w:pPr>
      <w:r>
        <w:t xml:space="preserve">Kesimpulan</w:t>
      </w:r>
    </w:p>
    <w:p>
      <w:pPr>
        <w:pStyle w:val="FirstParagraph"/>
      </w:pPr>
      <w:r>
        <w:t xml:space="preserve">Benang merah dari tujuh kesalahan ini sederhana: keputusan baik lahir dari meminta bukti, bukan menerima janji. Harga gas hanya satu angka; legalitas, keandalan pasok, sertifikasi K3, dan dukungan purnajual yang menentukan apakah penghematan benar-benar terwujud, dan sebagian tanggung jawab itu ada di sisi pembeli. PGN Gagas, sebagai penyedia CNG dalam ekosistem PGN/Subholding Gas Pertamina dengan sertifikasi ISO 9001, ISO 45001:2018, dan ISO 37001 (2025) serta layanan 24 jam, menempatkan transparansi legalitas dan keandalan pasokan sebagai dasar, termasuk lewat</w:t>
      </w:r>
      <w:r>
        <w:t xml:space="preserve"> </w:t>
      </w:r>
      <w:hyperlink r:id="rId31">
        <w:r>
          <w:rPr>
            <w:rStyle w:val="Hyperlink"/>
          </w:rPr>
          <w:t xml:space="preserve">Gaslink untuk kebutuhan industri dan komersial</w:t>
        </w:r>
      </w:hyperlink>
      <w:r>
        <w:t xml:space="preserve">. Itu bukan klaim sebagai satu-satunya yang benar, melainkan ajakan menilai setiap penyedia dengan standar yang sama.</w:t>
      </w:r>
    </w:p>
    <w:p>
      <w:pPr>
        <w:pStyle w:val="BodyText"/>
      </w:pPr>
      <w:r>
        <w:t xml:space="preserve">Untuk mendiskusikan kebutuhan pasokan CNG dan memverifikasi kesiapannya bagi perusahaan Anda, kunjungi gagas.co.id dan mulai konsultasinya.</w:t>
      </w:r>
      <w:r>
        <w:t xml:space="preserve"> </w:t>
      </w:r>
      <w:r>
        <w:t xml:space="preserve"> </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agas.co.id/gasku/" TargetMode="External" /><Relationship Type="http://schemas.openxmlformats.org/officeDocument/2006/relationships/hyperlink" Id="rId31" Target="https://gagas.co.id/gaslink/" TargetMode="External" /><Relationship Type="http://schemas.openxmlformats.org/officeDocument/2006/relationships/hyperlink" Id="rId17"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22" Target="https://gagas.co.id/gasku/" TargetMode="External" /><Relationship Type="http://schemas.openxmlformats.org/officeDocument/2006/relationships/hyperlink" Id="rId31" Target="https://gagas.co.id/gaslink/" TargetMode="External" /><Relationship Type="http://schemas.openxmlformats.org/officeDocument/2006/relationships/hyperlink" Id="rId17"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2026-06-09T09:04:34Z</dcterms:created>
  <dcterms:modified xsi:type="dcterms:W3CDTF">2026-06-09T09:04:34Z</dcterms:modified>
</cp:coreProperties>
</file>

<file path=docProps/custom.xml><?xml version="1.0" encoding="utf-8"?>
<Properties xmlns="http://schemas.openxmlformats.org/officeDocument/2006/custom-properties" xmlns:vt="http://schemas.openxmlformats.org/officeDocument/2006/docPropsVTypes"/>
</file>