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A634F5" w14:textId="77777777" w:rsidR="00A04C2C" w:rsidRDefault="0070008C">
      <w:pPr>
        <w:pStyle w:val="Heading1"/>
      </w:pPr>
      <w:bookmarkStart w:id="0" w:name="article-metadata"/>
      <w:r>
        <w:t xml:space="preserve"> </w:t>
      </w:r>
      <w:r w:rsidR="00B25BB0">
        <w:t>Article Metadata</w:t>
      </w:r>
    </w:p>
    <w:p w14:paraId="704A760A" w14:textId="77777777" w:rsidR="00A04C2C" w:rsidRDefault="00B25BB0">
      <w:pPr>
        <w:pStyle w:val="SourceCode"/>
      </w:pPr>
      <w:r>
        <w:rPr>
          <w:rStyle w:val="FunctionTok"/>
        </w:rPr>
        <w:t>title</w:t>
      </w:r>
      <w:r>
        <w:rPr>
          <w:rStyle w:val="KeywordTok"/>
        </w:rPr>
        <w:t>:</w:t>
      </w:r>
      <w:r>
        <w:rPr>
          <w:rStyle w:val="AttributeTok"/>
        </w:rPr>
        <w:t xml:space="preserve"> </w:t>
      </w:r>
      <w:r>
        <w:rPr>
          <w:rStyle w:val="StringTok"/>
        </w:rPr>
        <w:t>"Apa Itu ESG dan Mengapa Penting bagi Perusahaan Indonesia"</w:t>
      </w:r>
      <w:r>
        <w:br/>
      </w:r>
      <w:r>
        <w:rPr>
          <w:rStyle w:val="FunctionTok"/>
        </w:rPr>
        <w:t>meta_title</w:t>
      </w:r>
      <w:r>
        <w:rPr>
          <w:rStyle w:val="KeywordTok"/>
        </w:rPr>
        <w:t>:</w:t>
      </w:r>
      <w:r>
        <w:rPr>
          <w:rStyle w:val="AttributeTok"/>
        </w:rPr>
        <w:t xml:space="preserve"> </w:t>
      </w:r>
      <w:r>
        <w:rPr>
          <w:rStyle w:val="StringTok"/>
        </w:rPr>
        <w:t>"ESG Adalah: Pengertian, Pilar, dan Pentingnya di Indonesia"</w:t>
      </w:r>
      <w:r>
        <w:br/>
      </w:r>
      <w:r>
        <w:rPr>
          <w:rStyle w:val="FunctionTok"/>
        </w:rPr>
        <w:t>meta_description</w:t>
      </w:r>
      <w:r>
        <w:rPr>
          <w:rStyle w:val="KeywordTok"/>
        </w:rPr>
        <w:t>:</w:t>
      </w:r>
      <w:r>
        <w:rPr>
          <w:rStyle w:val="AttributeTok"/>
        </w:rPr>
        <w:t xml:space="preserve"> </w:t>
      </w:r>
      <w:r>
        <w:rPr>
          <w:rStyle w:val="StringTok"/>
        </w:rPr>
        <w:t>"ESG adalah kerangka menilai kinerja non-finansial perusahaan. Pelajari tiga pilar E/S/G, kewajiban POJK 51, lanskap regulasi 2026, dan cara memulainya."</w:t>
      </w:r>
      <w:r>
        <w:br/>
      </w:r>
      <w:r>
        <w:rPr>
          <w:rStyle w:val="FunctionTok"/>
        </w:rPr>
        <w:t>slug</w:t>
      </w:r>
      <w:r>
        <w:rPr>
          <w:rStyle w:val="KeywordTok"/>
        </w:rPr>
        <w:t>:</w:t>
      </w:r>
      <w:r>
        <w:rPr>
          <w:rStyle w:val="AttributeTok"/>
        </w:rPr>
        <w:t xml:space="preserve"> </w:t>
      </w:r>
      <w:r>
        <w:rPr>
          <w:rStyle w:val="StringTok"/>
        </w:rPr>
        <w:t>"esg-adalah-pengertian-pilar-pentingnya"</w:t>
      </w:r>
      <w:r>
        <w:br/>
      </w:r>
      <w:r>
        <w:rPr>
          <w:rStyle w:val="FunctionTok"/>
        </w:rPr>
        <w:t>language</w:t>
      </w:r>
      <w:r>
        <w:rPr>
          <w:rStyle w:val="KeywordTok"/>
        </w:rPr>
        <w:t>:</w:t>
      </w:r>
      <w:r>
        <w:rPr>
          <w:rStyle w:val="AttributeTok"/>
        </w:rPr>
        <w:t xml:space="preserve"> </w:t>
      </w:r>
      <w:r>
        <w:rPr>
          <w:rStyle w:val="StringTok"/>
        </w:rPr>
        <w:t>"id"</w:t>
      </w:r>
      <w:r>
        <w:br/>
      </w:r>
      <w:r>
        <w:rPr>
          <w:rStyle w:val="FunctionTok"/>
        </w:rPr>
        <w:t>primary_keyword</w:t>
      </w:r>
      <w:r>
        <w:rPr>
          <w:rStyle w:val="KeywordTok"/>
        </w:rPr>
        <w:t>:</w:t>
      </w:r>
      <w:r>
        <w:rPr>
          <w:rStyle w:val="AttributeTok"/>
        </w:rPr>
        <w:t xml:space="preserve"> </w:t>
      </w:r>
      <w:r>
        <w:rPr>
          <w:rStyle w:val="StringTok"/>
        </w:rPr>
        <w:t>"esg adalah"</w:t>
      </w:r>
      <w:r>
        <w:br/>
      </w:r>
      <w:r>
        <w:rPr>
          <w:rStyle w:val="FunctionTok"/>
        </w:rPr>
        <w:t>secondary_</w:t>
      </w:r>
      <w:r>
        <w:rPr>
          <w:rStyle w:val="FunctionTok"/>
        </w:rPr>
        <w:t>keywords</w:t>
      </w:r>
      <w:r>
        <w:rPr>
          <w:rStyle w:val="KeywordTok"/>
        </w:rPr>
        <w:t>:</w:t>
      </w:r>
      <w:r>
        <w:br/>
      </w:r>
      <w:r>
        <w:rPr>
          <w:rStyle w:val="AttributeTok"/>
        </w:rPr>
        <w:t xml:space="preserve">  </w:t>
      </w:r>
      <w:r>
        <w:rPr>
          <w:rStyle w:val="KeywordTok"/>
        </w:rPr>
        <w:t>-</w:t>
      </w:r>
      <w:r>
        <w:rPr>
          <w:rStyle w:val="AttributeTok"/>
        </w:rPr>
        <w:t xml:space="preserve"> </w:t>
      </w:r>
      <w:r>
        <w:rPr>
          <w:rStyle w:val="StringTok"/>
        </w:rPr>
        <w:t>"apa itu ESG"</w:t>
      </w:r>
      <w:r>
        <w:br/>
      </w:r>
      <w:r>
        <w:rPr>
          <w:rStyle w:val="AttributeTok"/>
        </w:rPr>
        <w:t xml:space="preserve">  </w:t>
      </w:r>
      <w:r>
        <w:rPr>
          <w:rStyle w:val="KeywordTok"/>
        </w:rPr>
        <w:t>-</w:t>
      </w:r>
      <w:r>
        <w:rPr>
          <w:rStyle w:val="AttributeTok"/>
        </w:rPr>
        <w:t xml:space="preserve"> </w:t>
      </w:r>
      <w:r>
        <w:rPr>
          <w:rStyle w:val="StringTok"/>
        </w:rPr>
        <w:t>"tiga pilar ESG"</w:t>
      </w:r>
      <w:r>
        <w:br/>
      </w:r>
      <w:r>
        <w:rPr>
          <w:rStyle w:val="AttributeTok"/>
        </w:rPr>
        <w:t xml:space="preserve">  </w:t>
      </w:r>
      <w:r>
        <w:rPr>
          <w:rStyle w:val="KeywordTok"/>
        </w:rPr>
        <w:t>-</w:t>
      </w:r>
      <w:r>
        <w:rPr>
          <w:rStyle w:val="AttributeTok"/>
        </w:rPr>
        <w:t xml:space="preserve"> </w:t>
      </w:r>
      <w:r>
        <w:rPr>
          <w:rStyle w:val="StringTok"/>
        </w:rPr>
        <w:t>"environmental social governance"</w:t>
      </w:r>
      <w:r>
        <w:br/>
      </w:r>
      <w:r>
        <w:rPr>
          <w:rStyle w:val="AttributeTok"/>
        </w:rPr>
        <w:t xml:space="preserve">  </w:t>
      </w:r>
      <w:r>
        <w:rPr>
          <w:rStyle w:val="KeywordTok"/>
        </w:rPr>
        <w:t>-</w:t>
      </w:r>
      <w:r>
        <w:rPr>
          <w:rStyle w:val="AttributeTok"/>
        </w:rPr>
        <w:t xml:space="preserve"> </w:t>
      </w:r>
      <w:r>
        <w:rPr>
          <w:rStyle w:val="StringTok"/>
        </w:rPr>
        <w:t>"laporan keberlanjutan"</w:t>
      </w:r>
      <w:r>
        <w:br/>
      </w:r>
      <w:r>
        <w:rPr>
          <w:rStyle w:val="AttributeTok"/>
        </w:rPr>
        <w:t xml:space="preserve">  </w:t>
      </w:r>
      <w:r>
        <w:rPr>
          <w:rStyle w:val="KeywordTok"/>
        </w:rPr>
        <w:t>-</w:t>
      </w:r>
      <w:r>
        <w:rPr>
          <w:rStyle w:val="AttributeTok"/>
        </w:rPr>
        <w:t xml:space="preserve"> </w:t>
      </w:r>
      <w:r>
        <w:rPr>
          <w:rStyle w:val="StringTok"/>
        </w:rPr>
        <w:t>"POJK 51"</w:t>
      </w:r>
      <w:r>
        <w:br/>
      </w:r>
      <w:r>
        <w:rPr>
          <w:rStyle w:val="AttributeTok"/>
        </w:rPr>
        <w:t xml:space="preserve">  </w:t>
      </w:r>
      <w:r>
        <w:rPr>
          <w:rStyle w:val="KeywordTok"/>
        </w:rPr>
        <w:t>-</w:t>
      </w:r>
      <w:r>
        <w:rPr>
          <w:rStyle w:val="AttributeTok"/>
        </w:rPr>
        <w:t xml:space="preserve"> </w:t>
      </w:r>
      <w:r>
        <w:rPr>
          <w:rStyle w:val="StringTok"/>
        </w:rPr>
        <w:t>"keuangan berkelanjutan"</w:t>
      </w:r>
      <w:r>
        <w:br/>
      </w:r>
      <w:r>
        <w:rPr>
          <w:rStyle w:val="AttributeTok"/>
        </w:rPr>
        <w:t xml:space="preserve">  </w:t>
      </w:r>
      <w:r>
        <w:rPr>
          <w:rStyle w:val="KeywordTok"/>
        </w:rPr>
        <w:t>-</w:t>
      </w:r>
      <w:r>
        <w:rPr>
          <w:rStyle w:val="AttributeTok"/>
        </w:rPr>
        <w:t xml:space="preserve"> </w:t>
      </w:r>
      <w:r>
        <w:rPr>
          <w:rStyle w:val="StringTok"/>
        </w:rPr>
        <w:t>"perbedaan ESG dan CSR"</w:t>
      </w:r>
      <w:r>
        <w:br/>
      </w:r>
      <w:r>
        <w:rPr>
          <w:rStyle w:val="AttributeTok"/>
        </w:rPr>
        <w:t xml:space="preserve">  </w:t>
      </w:r>
      <w:r>
        <w:rPr>
          <w:rStyle w:val="KeywordTok"/>
        </w:rPr>
        <w:t>-</w:t>
      </w:r>
      <w:r>
        <w:rPr>
          <w:rStyle w:val="AttributeTok"/>
        </w:rPr>
        <w:t xml:space="preserve"> </w:t>
      </w:r>
      <w:r>
        <w:rPr>
          <w:rStyle w:val="StringTok"/>
        </w:rPr>
        <w:t>"carbon accounting"</w:t>
      </w:r>
      <w:r>
        <w:br/>
      </w:r>
      <w:r>
        <w:rPr>
          <w:rStyle w:val="AttributeTok"/>
        </w:rPr>
        <w:t xml:space="preserve">  </w:t>
      </w:r>
      <w:r>
        <w:rPr>
          <w:rStyle w:val="KeywordTok"/>
        </w:rPr>
        <w:t>-</w:t>
      </w:r>
      <w:r>
        <w:rPr>
          <w:rStyle w:val="AttributeTok"/>
        </w:rPr>
        <w:t xml:space="preserve"> </w:t>
      </w:r>
      <w:r>
        <w:rPr>
          <w:rStyle w:val="StringTok"/>
        </w:rPr>
        <w:t>"bursa karbon IDXCarbon"</w:t>
      </w:r>
      <w:r>
        <w:br/>
      </w:r>
      <w:r>
        <w:rPr>
          <w:rStyle w:val="AttributeTok"/>
        </w:rPr>
        <w:t xml:space="preserve">  </w:t>
      </w:r>
      <w:r>
        <w:rPr>
          <w:rStyle w:val="KeywordTok"/>
        </w:rPr>
        <w:t>-</w:t>
      </w:r>
      <w:r>
        <w:rPr>
          <w:rStyle w:val="AttributeTok"/>
        </w:rPr>
        <w:t xml:space="preserve"> </w:t>
      </w:r>
      <w:r>
        <w:rPr>
          <w:rStyle w:val="StringTok"/>
        </w:rPr>
        <w:t>"ESG investin</w:t>
      </w:r>
      <w:r>
        <w:rPr>
          <w:rStyle w:val="StringTok"/>
        </w:rPr>
        <w:t>g"</w:t>
      </w:r>
      <w:r>
        <w:br/>
      </w:r>
      <w:r>
        <w:rPr>
          <w:rStyle w:val="FunctionTok"/>
        </w:rPr>
        <w:t>internal_links</w:t>
      </w:r>
      <w:r>
        <w:rPr>
          <w:rStyle w:val="KeywordTok"/>
        </w:rPr>
        <w:t>:</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"https://www.soltius.co.id/id/blog/migrasi-erp-ke-cloud"</w:t>
      </w:r>
      <w:r>
        <w:br/>
      </w:r>
      <w:r>
        <w:rPr>
          <w:rStyle w:val="AttributeTok"/>
        </w:rPr>
        <w:t xml:space="preserve">    </w:t>
      </w:r>
      <w:r>
        <w:rPr>
          <w:rStyle w:val="FunctionTok"/>
        </w:rPr>
        <w:t>anchor</w:t>
      </w:r>
      <w:r>
        <w:rPr>
          <w:rStyle w:val="KeywordTok"/>
        </w:rPr>
        <w:t>:</w:t>
      </w:r>
      <w:r>
        <w:rPr>
          <w:rStyle w:val="AttributeTok"/>
        </w:rPr>
        <w:t xml:space="preserve"> </w:t>
      </w:r>
      <w:r>
        <w:rPr>
          <w:rStyle w:val="StringTok"/>
        </w:rPr>
        <w:t>"sistem ERP modern"</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"https://www.soltius.co.id/id/blog/business-intelligence"</w:t>
      </w:r>
      <w:r>
        <w:br/>
      </w:r>
      <w:r>
        <w:rPr>
          <w:rStyle w:val="AttributeTok"/>
        </w:rPr>
        <w:t xml:space="preserve">    </w:t>
      </w:r>
      <w:r>
        <w:rPr>
          <w:rStyle w:val="FunctionTok"/>
        </w:rPr>
        <w:t>anchor</w:t>
      </w:r>
      <w:r>
        <w:rPr>
          <w:rStyle w:val="KeywordTok"/>
        </w:rPr>
        <w:t>:</w:t>
      </w:r>
      <w:r>
        <w:rPr>
          <w:rStyle w:val="AttributeTok"/>
        </w:rPr>
        <w:t xml:space="preserve"> </w:t>
      </w:r>
      <w:r>
        <w:rPr>
          <w:rStyle w:val="StringTok"/>
        </w:rPr>
        <w:t>"business intelligence"</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"https://www.soltius.co.id/id/blog/data-warehouse-solutions"</w:t>
      </w:r>
      <w:r>
        <w:br/>
      </w:r>
      <w:r>
        <w:rPr>
          <w:rStyle w:val="AttributeTok"/>
        </w:rPr>
        <w:t xml:space="preserve">    </w:t>
      </w:r>
      <w:r>
        <w:rPr>
          <w:rStyle w:val="FunctionTok"/>
        </w:rPr>
        <w:t>anchor</w:t>
      </w:r>
      <w:r>
        <w:rPr>
          <w:rStyle w:val="KeywordTok"/>
        </w:rPr>
        <w:t>:</w:t>
      </w:r>
      <w:r>
        <w:rPr>
          <w:rStyle w:val="AttributeTok"/>
        </w:rPr>
        <w:t xml:space="preserve"> </w:t>
      </w:r>
      <w:r>
        <w:rPr>
          <w:rStyle w:val="StringTok"/>
        </w:rPr>
        <w:t>"data warehouse"</w:t>
      </w:r>
      <w:r>
        <w:br/>
      </w:r>
      <w:r>
        <w:rPr>
          <w:rStyle w:val="FunctionTok"/>
        </w:rPr>
        <w:t>external_citations</w:t>
      </w:r>
      <w:r>
        <w:rPr>
          <w:rStyle w:val="KeywordTok"/>
        </w:rPr>
        <w:t>:</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"https://ojk.go.id/id/kanal/perbankan/regulasi/peraturan-ojk/Pages/POJK-Penerapan-Keuangan-Berkelanjutan-bagi-Lembaga-Jasa-Keuangan,-Emit</w:t>
      </w:r>
      <w:r>
        <w:rPr>
          <w:rStyle w:val="StringTok"/>
        </w:rPr>
        <w:t>en,-dan-Perusahaan-Publik.aspx"</w:t>
      </w:r>
      <w:r>
        <w:br/>
      </w:r>
      <w:r>
        <w:rPr>
          <w:rStyle w:val="AttributeTok"/>
        </w:rPr>
        <w:t xml:space="preserve">    </w:t>
      </w:r>
      <w:r>
        <w:rPr>
          <w:rStyle w:val="FunctionTok"/>
        </w:rPr>
        <w:t>context</w:t>
      </w:r>
      <w:r>
        <w:rPr>
          <w:rStyle w:val="KeywordTok"/>
        </w:rPr>
        <w:t>:</w:t>
      </w:r>
      <w:r>
        <w:rPr>
          <w:rStyle w:val="AttributeTok"/>
        </w:rPr>
        <w:t xml:space="preserve"> </w:t>
      </w:r>
      <w:r>
        <w:rPr>
          <w:rStyle w:val="StringTok"/>
        </w:rPr>
        <w:t>"POJK 51/POJK.03/2017 — kewajiban Laporan Keberlanjutan dan RAKB bagi LJK, emiten, perusahaan publik"</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"https://www.pwc.com/gx/en/issues/c-suite-insights/global-investor-survey.html"</w:t>
      </w:r>
      <w:r>
        <w:br/>
      </w:r>
      <w:r>
        <w:rPr>
          <w:rStyle w:val="AttributeTok"/>
        </w:rPr>
        <w:t xml:space="preserve">    </w:t>
      </w:r>
      <w:r>
        <w:rPr>
          <w:rStyle w:val="FunctionTok"/>
        </w:rPr>
        <w:t>context</w:t>
      </w:r>
      <w:r>
        <w:rPr>
          <w:rStyle w:val="KeywordTok"/>
        </w:rPr>
        <w:t>:</w:t>
      </w:r>
      <w:r>
        <w:rPr>
          <w:rStyle w:val="AttributeTok"/>
        </w:rPr>
        <w:t xml:space="preserve"> </w:t>
      </w:r>
      <w:r>
        <w:rPr>
          <w:rStyle w:val="StringTok"/>
        </w:rPr>
        <w:t>"PwC Gl</w:t>
      </w:r>
      <w:r>
        <w:rPr>
          <w:rStyle w:val="StringTok"/>
        </w:rPr>
        <w:t>obal Investor Survey 2025 — 78% investor menilai informasi keberlanjutan berdampak positif; 84% ingin perusahaan pertahankan/tingkatkan investasi adaptasi iklim"</w:t>
      </w:r>
      <w: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"https://news.sap.com/2024/12/sap-green-ledger-general-availability/"</w:t>
      </w:r>
      <w:r>
        <w:br/>
      </w:r>
      <w:r>
        <w:rPr>
          <w:rStyle w:val="AttributeTok"/>
        </w:rPr>
        <w:t xml:space="preserve">    </w:t>
      </w:r>
      <w:r>
        <w:rPr>
          <w:rStyle w:val="FunctionTok"/>
        </w:rPr>
        <w:t>context</w:t>
      </w:r>
      <w:r>
        <w:rPr>
          <w:rStyle w:val="KeywordTok"/>
        </w:rPr>
        <w:t>:</w:t>
      </w:r>
      <w:r>
        <w:rPr>
          <w:rStyle w:val="AttributeTok"/>
        </w:rPr>
        <w:t xml:space="preserve"> </w:t>
      </w:r>
      <w:r>
        <w:rPr>
          <w:rStyle w:val="StringTok"/>
        </w:rPr>
        <w:t>"S</w:t>
      </w:r>
      <w:r>
        <w:rPr>
          <w:rStyle w:val="StringTok"/>
        </w:rPr>
        <w:t>AP Green Ledger mencapai general availability 16 Desember 2024 — carbon accounting terintegrasi ERP"</w:t>
      </w:r>
      <w:r>
        <w:br/>
      </w:r>
      <w:r>
        <w:rPr>
          <w:rStyle w:val="FunctionTok"/>
        </w:rPr>
        <w:t>brief_id</w:t>
      </w:r>
      <w:r>
        <w:rPr>
          <w:rStyle w:val="KeywordTok"/>
        </w:rPr>
        <w:t>:</w:t>
      </w:r>
      <w:r>
        <w:rPr>
          <w:rStyle w:val="AttributeTok"/>
        </w:rPr>
        <w:t xml:space="preserve"> </w:t>
      </w:r>
      <w:r>
        <w:rPr>
          <w:rStyle w:val="StringTok"/>
        </w:rPr>
        <w:t>"esg-c01"</w:t>
      </w:r>
      <w:r>
        <w:br/>
      </w:r>
      <w:r>
        <w:rPr>
          <w:rStyle w:val="FunctionTok"/>
        </w:rPr>
        <w:t>target_word_count</w:t>
      </w:r>
      <w:r>
        <w:rPr>
          <w:rStyle w:val="KeywordTok"/>
        </w:rPr>
        <w:t>:</w:t>
      </w:r>
      <w:r>
        <w:rPr>
          <w:rStyle w:val="AttributeTok"/>
        </w:rPr>
        <w:t xml:space="preserve"> </w:t>
      </w:r>
      <w:r>
        <w:rPr>
          <w:rStyle w:val="DecValTok"/>
        </w:rPr>
        <w:t>1850</w:t>
      </w:r>
      <w:r>
        <w:br/>
      </w:r>
      <w:r>
        <w:rPr>
          <w:rStyle w:val="FunctionTok"/>
        </w:rPr>
        <w:t>publish_month</w:t>
      </w:r>
      <w:r>
        <w:rPr>
          <w:rStyle w:val="KeywordTok"/>
        </w:rPr>
        <w:t>:</w:t>
      </w:r>
      <w:r>
        <w:rPr>
          <w:rStyle w:val="AttributeTok"/>
        </w:rPr>
        <w:t xml:space="preserve"> </w:t>
      </w:r>
      <w:r>
        <w:rPr>
          <w:rStyle w:val="StringTok"/>
        </w:rPr>
        <w:t>"2026-06"</w:t>
      </w:r>
      <w:r>
        <w:br/>
      </w:r>
      <w:r>
        <w:rPr>
          <w:rStyle w:val="FunctionTok"/>
        </w:rPr>
        <w:t>date_modified</w:t>
      </w:r>
      <w:r>
        <w:rPr>
          <w:rStyle w:val="KeywordTok"/>
        </w:rPr>
        <w:t>:</w:t>
      </w:r>
      <w:r>
        <w:rPr>
          <w:rStyle w:val="AttributeTok"/>
        </w:rPr>
        <w:t xml:space="preserve"> </w:t>
      </w:r>
      <w:r>
        <w:rPr>
          <w:rStyle w:val="StringTok"/>
        </w:rPr>
        <w:t>"2026-06-17"</w:t>
      </w:r>
      <w:r>
        <w:br/>
      </w:r>
      <w:r>
        <w:rPr>
          <w:rStyle w:val="FunctionTok"/>
        </w:rPr>
        <w:t>word_count</w:t>
      </w:r>
      <w:r>
        <w:rPr>
          <w:rStyle w:val="KeywordTok"/>
        </w:rPr>
        <w:t>:</w:t>
      </w:r>
      <w:r>
        <w:rPr>
          <w:rStyle w:val="AttributeTok"/>
        </w:rPr>
        <w:t xml:space="preserve"> </w:t>
      </w:r>
      <w:r>
        <w:rPr>
          <w:rStyle w:val="DecValTok"/>
        </w:rPr>
        <w:t>2030</w:t>
      </w:r>
    </w:p>
    <w:p w14:paraId="739F5212" w14:textId="77777777" w:rsidR="00A04C2C" w:rsidRDefault="00B25BB0">
      <w:r>
        <w:pict w14:anchorId="60B56D82">
          <v:rect id="_x0000_i1025" style="width:0;height:1.5pt" o:hralign="center" o:hrstd="t" o:hr="t"/>
        </w:pict>
      </w:r>
    </w:p>
    <w:p w14:paraId="421C60DE" w14:textId="77777777" w:rsidR="00A04C2C" w:rsidRDefault="00B25BB0">
      <w:pPr>
        <w:pStyle w:val="Heading1"/>
      </w:pPr>
      <w:bookmarkStart w:id="1" w:name="X590fb250469cd8ed1379b7366e28c1af59348e3"/>
      <w:bookmarkEnd w:id="0"/>
      <w:r>
        <w:lastRenderedPageBreak/>
        <w:t>Apa Itu ESG dan Mengapa Penting bagi Perusahaan Indonesia</w:t>
      </w:r>
    </w:p>
    <w:p w14:paraId="55BD06E1" w14:textId="77777777" w:rsidR="00A04C2C" w:rsidRDefault="00B25BB0">
      <w:r>
        <w:t>Pertanyaannya sudah bergeser. Direktur keuangan dan sekretaris perusahaan tidak lagi bertanya “apa itu ESG”, melainkan “dari mana asal angka emisi dan tata kelola yang harus kami laporkan, dan apaka</w:t>
      </w:r>
      <w:r>
        <w:t xml:space="preserve">h angka itu tahan audit”. Sejak POJK 51/POJK.03/2017 mewajibkan Laporan Keberlanjutan, ESG berpindah dari meja tim CSR ke ruang rapat direksi. Artikel ini menjelaskan </w:t>
      </w:r>
      <w:r>
        <w:rPr>
          <w:b/>
          <w:bCs/>
        </w:rPr>
        <w:t>ESG adalah</w:t>
      </w:r>
      <w:r>
        <w:t xml:space="preserve"> apa secara jernih, merinci tiga pilarnya, memetakan lanskap regulasi Indonesia</w:t>
      </w:r>
      <w:r>
        <w:t xml:space="preserve"> hingga 2026, lalu menutup celah yang jarang dibahas: ESG bukan sekadar nilai perusahaan, melainkan persoalan data dan sistem.</w:t>
      </w:r>
    </w:p>
    <w:p w14:paraId="4FBDC499" w14:textId="77777777" w:rsidR="00A04C2C" w:rsidRDefault="00B25BB0">
      <w:r>
        <w:rPr>
          <w:b/>
          <w:bCs/>
        </w:rPr>
        <w:t>Ringkasnya:</w:t>
      </w:r>
      <w:r>
        <w:t xml:space="preserve"> ESG (</w:t>
      </w:r>
      <w:r>
        <w:rPr>
          <w:i/>
          <w:iCs/>
        </w:rPr>
        <w:t>Environmental, Social, Governance</w:t>
      </w:r>
      <w:r>
        <w:t>) adalah kerangka untuk menilai bagaimana perusahaan mengelola dampak lingkunga</w:t>
      </w:r>
      <w:r>
        <w:t xml:space="preserve">n, tanggung jawab sosial, dan kualitas tata kelolanya. Berbeda dari laporan keuangan, ESG mengukur risiko dan kinerja non-finansial yang kini dinilai investor, regulator, dan mitra bisnis — termasuk melalui kewajiban Laporan Keberlanjutan berdasarkan POJK </w:t>
      </w:r>
      <w:r>
        <w:t>51/POJK.03/2017 di Indonesia.</w:t>
      </w:r>
    </w:p>
    <w:p w14:paraId="3E2BF9C6" w14:textId="77777777" w:rsidR="00A04C2C" w:rsidRDefault="00B25BB0">
      <w:r>
        <w:t>Kita akan membahasnya berurutan: definisi dan tiga pilar, mengapa ESG penting bagi perusahaan Indonesia, lanskap regulasi yang terus bergerak, langkah memulainya, dan mengapa data yang dapat diaudit pada akhirnya menentukan.</w:t>
      </w:r>
    </w:p>
    <w:p w14:paraId="3819F2C1" w14:textId="77777777" w:rsidR="00A04C2C" w:rsidRDefault="00B25BB0">
      <w:r>
        <w:rPr>
          <w:i/>
          <w:iCs/>
        </w:rPr>
        <w:t>[</w:t>
      </w:r>
      <w:r>
        <w:rPr>
          <w:i/>
          <w:iCs/>
        </w:rPr>
        <w:t xml:space="preserve">Image 01: Infografik tiga pilar ESG — diagram segitiga atau tiga kolom dengan ikon (daun/bumi untuk Environmental, kelompok orang untuk Social, gedung/neraca untuk Governance). Tiap pilar menampilkan tiga contoh metrik singkat. Gaya korporat bersih, palet </w:t>
      </w:r>
      <w:r>
        <w:rPr>
          <w:i/>
          <w:iCs/>
        </w:rPr>
        <w:t>hijau-biru, teks Bahasa Indonesia: “Lingkungan”, “Sosial”, “Tata Kelola”.]</w:t>
      </w:r>
    </w:p>
    <w:p w14:paraId="56829713" w14:textId="77777777" w:rsidR="00A04C2C" w:rsidRDefault="00B25BB0">
      <w:pPr>
        <w:pStyle w:val="Heading2"/>
      </w:pPr>
      <w:bookmarkStart w:id="2" w:name="apa-itu-esg-definisi-dan-singkatannya"/>
      <w:r>
        <w:t>Apa Itu ESG? Definisi dan Singkatannya</w:t>
      </w:r>
    </w:p>
    <w:p w14:paraId="6AEAA03F" w14:textId="77777777" w:rsidR="00A04C2C" w:rsidRDefault="00B25BB0">
      <w:r>
        <w:t xml:space="preserve">ESG adalah singkatan dari </w:t>
      </w:r>
      <w:r>
        <w:rPr>
          <w:i/>
          <w:iCs/>
        </w:rPr>
        <w:t>Environmental</w:t>
      </w:r>
      <w:r>
        <w:t xml:space="preserve"> (Lingkungan), </w:t>
      </w:r>
      <w:r>
        <w:rPr>
          <w:i/>
          <w:iCs/>
        </w:rPr>
        <w:t>Social</w:t>
      </w:r>
      <w:r>
        <w:t xml:space="preserve"> (Sosial), dan </w:t>
      </w:r>
      <w:r>
        <w:rPr>
          <w:i/>
          <w:iCs/>
        </w:rPr>
        <w:t>Governance</w:t>
      </w:r>
      <w:r>
        <w:t xml:space="preserve"> (Tata Kelola). Ini kerangka untuk menilai kinerja non-fi</w:t>
      </w:r>
      <w:r>
        <w:t>nansial sebuah perusahaan: seberapa baik ia mengelola dampak lingkungan, tanggung jawab sosial, dan praktik tata kelolanya. Hasil penilaian itu kini dipakai investor, regulator, dan auditor sebagai ukuran risiko jangka panjang.</w:t>
      </w:r>
    </w:p>
    <w:p w14:paraId="461283C0" w14:textId="77777777" w:rsidR="00A04C2C" w:rsidRDefault="00B25BB0">
      <w:r>
        <w:t>Yang membedakan ESG dari lap</w:t>
      </w:r>
      <w:r>
        <w:t>oran tahunan biasa: ia mengubah hal-hal yang dulu dianggap “lunak”, seperti emisi, keselamatan kerja, dan etika dewan direksi, menjadi metrik yang terukur dan dapat dilaporkan. Menurut Corporate Finance Institute, ESG menilai tiga dimensi sekaligus: dampak</w:t>
      </w:r>
      <w:r>
        <w:t xml:space="preserve"> lingkungan (emisi, energi, limbah), tanggung jawab sosial (karyawan, komunitas, rantai pasokan), dan kualitas tata kelola (transparansi, etika, hak pemegang saham). Ketiganya saling terkait; tata kelola yang lemah, misalnya, biasanya membuat klaim lingkun</w:t>
      </w:r>
      <w:r>
        <w:t>gan sulit dipercaya.</w:t>
      </w:r>
    </w:p>
    <w:p w14:paraId="4F55481F" w14:textId="77777777" w:rsidR="00A04C2C" w:rsidRDefault="00B25BB0">
      <w:r>
        <w:t>Inilah pergeseran intinya. ESG bukan kampanye citra. Ia adalah cara pasar modal membaca kesehatan perusahaan di luar laba-rugi.</w:t>
      </w:r>
    </w:p>
    <w:p w14:paraId="15BCB245" w14:textId="77777777" w:rsidR="00A04C2C" w:rsidRDefault="00B25BB0">
      <w:pPr>
        <w:pStyle w:val="Heading2"/>
      </w:pPr>
      <w:bookmarkStart w:id="3" w:name="Xe62b29ccd4476f665273cdd48f92e86adb119c2"/>
      <w:bookmarkEnd w:id="2"/>
      <w:r>
        <w:t>Tiga Pilar ESG: Lingkungan, Sosial, dan Tata Kelola</w:t>
      </w:r>
    </w:p>
    <w:p w14:paraId="030FAEDA" w14:textId="77777777" w:rsidR="00A04C2C" w:rsidRDefault="00B25BB0">
      <w:r>
        <w:t>Tiga pilar ESG adalah Lingkungan, Sosial, dan Tata Kelo</w:t>
      </w:r>
      <w:r>
        <w:t xml:space="preserve">la. </w:t>
      </w:r>
      <w:r>
        <w:rPr>
          <w:b/>
          <w:bCs/>
        </w:rPr>
        <w:t>Lingkungan (E)</w:t>
      </w:r>
      <w:r>
        <w:t xml:space="preserve"> mengukur jejak ekologis perusahaan: emisi gas rumah kaca, energi, air, dan limbah. </w:t>
      </w:r>
      <w:r>
        <w:rPr>
          <w:b/>
          <w:bCs/>
        </w:rPr>
        <w:t>Sosial (S)</w:t>
      </w:r>
      <w:r>
        <w:t xml:space="preserve"> mengukur hubungan dengan manusia, mulai dari karyawan dan komunitas hingga rantai pasokan. </w:t>
      </w:r>
      <w:r>
        <w:rPr>
          <w:b/>
          <w:bCs/>
        </w:rPr>
        <w:lastRenderedPageBreak/>
        <w:t>Tata Kelola (G)</w:t>
      </w:r>
      <w:r>
        <w:t xml:space="preserve"> mengukur cara perusahaan dikendalika</w:t>
      </w:r>
      <w:r>
        <w:t>n, dari transparansi dan etika hingga komposisi dewan. Tiap pilar punya metrik yang dapat diverifikasi.</w:t>
      </w:r>
    </w:p>
    <w:p w14:paraId="0BB39400" w14:textId="77777777" w:rsidR="00A04C2C" w:rsidRDefault="00B25BB0">
      <w:r>
        <w:t>Penting untuk membedakan ketiganya dari sekadar daftar nilai. Setiap pilar diterjemahkan menjadi indikator konkret yang bisa dibandingkan antar perusaha</w:t>
      </w:r>
      <w:r>
        <w:t>an dan antar tahun. Tabel berikut memberi gambaran bagaimana isu abstrak menjadi angka.</w:t>
      </w:r>
    </w:p>
    <w:tbl>
      <w:tblPr>
        <w:tblStyle w:val="TableNormal0"/>
        <w:tblW w:w="5000" w:type="pct"/>
        <w:tblInd w:w="0" w:type="dxa"/>
        <w:tblLayout w:type="fixed"/>
        <w:tblLook w:val="0020" w:firstRow="1" w:lastRow="0" w:firstColumn="0" w:lastColumn="0" w:noHBand="0" w:noVBand="0"/>
      </w:tblPr>
      <w:tblGrid>
        <w:gridCol w:w="2258"/>
        <w:gridCol w:w="2257"/>
        <w:gridCol w:w="2257"/>
        <w:gridCol w:w="2257"/>
      </w:tblGrid>
      <w:tr w:rsidR="00A04C2C" w14:paraId="68A77CA4" w14:textId="77777777">
        <w:trPr>
          <w:tblHeader/>
        </w:trPr>
        <w:tc>
          <w:tcPr>
            <w:tcW w:w="1980" w:type="dxa"/>
          </w:tcPr>
          <w:p w14:paraId="03417D54" w14:textId="77777777" w:rsidR="00A04C2C" w:rsidRDefault="00B25BB0">
            <w:r>
              <w:t>Pilar</w:t>
            </w:r>
          </w:p>
        </w:tc>
        <w:tc>
          <w:tcPr>
            <w:tcW w:w="1980" w:type="dxa"/>
          </w:tcPr>
          <w:p w14:paraId="0271A1E7" w14:textId="77777777" w:rsidR="00A04C2C" w:rsidRDefault="00B25BB0">
            <w:r>
              <w:t>Contoh Isu</w:t>
            </w:r>
          </w:p>
        </w:tc>
        <w:tc>
          <w:tcPr>
            <w:tcW w:w="1980" w:type="dxa"/>
          </w:tcPr>
          <w:p w14:paraId="5C5CCD73" w14:textId="77777777" w:rsidR="00A04C2C" w:rsidRDefault="00B25BB0">
            <w:r>
              <w:t>Contoh Metrik/Indikator</w:t>
            </w:r>
          </w:p>
        </w:tc>
        <w:tc>
          <w:tcPr>
            <w:tcW w:w="1980" w:type="dxa"/>
          </w:tcPr>
          <w:p w14:paraId="6F4296FE" w14:textId="77777777" w:rsidR="00A04C2C" w:rsidRDefault="00B25BB0">
            <w:r>
              <w:t>Contoh Inisiatif</w:t>
            </w:r>
          </w:p>
        </w:tc>
      </w:tr>
      <w:tr w:rsidR="00A04C2C" w14:paraId="55971796" w14:textId="77777777">
        <w:tc>
          <w:tcPr>
            <w:tcW w:w="1980" w:type="dxa"/>
          </w:tcPr>
          <w:p w14:paraId="7C658ED8" w14:textId="77777777" w:rsidR="00A04C2C" w:rsidRDefault="00B25BB0">
            <w:r>
              <w:rPr>
                <w:b/>
                <w:bCs/>
              </w:rPr>
              <w:t>Lingkungan (E)</w:t>
            </w:r>
          </w:p>
        </w:tc>
        <w:tc>
          <w:tcPr>
            <w:tcW w:w="1980" w:type="dxa"/>
          </w:tcPr>
          <w:p w14:paraId="5F25EA8E" w14:textId="77777777" w:rsidR="00A04C2C" w:rsidRDefault="00B25BB0">
            <w:r>
              <w:t>Emisi GRK, konsumsi energi, pengelolaan air, limbah B3</w:t>
            </w:r>
          </w:p>
        </w:tc>
        <w:tc>
          <w:tcPr>
            <w:tcW w:w="1980" w:type="dxa"/>
          </w:tcPr>
          <w:p w14:paraId="4CA42D9D" w14:textId="77777777" w:rsidR="00A04C2C" w:rsidRDefault="00B25BB0">
            <w:r>
              <w:t>Total emisi Scope 1/2/3 (tCO₂e), intens</w:t>
            </w:r>
            <w:r>
              <w:t>itas energi (GJ/ton produksi), air daur ulang (%)</w:t>
            </w:r>
          </w:p>
        </w:tc>
        <w:tc>
          <w:tcPr>
            <w:tcW w:w="1980" w:type="dxa"/>
          </w:tcPr>
          <w:p w14:paraId="5176CCAE" w14:textId="77777777" w:rsidR="00A04C2C" w:rsidRDefault="00B25BB0">
            <w:r>
              <w:t xml:space="preserve">Transisi energi terbarukan, efisiensi produksi, </w:t>
            </w:r>
            <w:r>
              <w:rPr>
                <w:i/>
                <w:iCs/>
              </w:rPr>
              <w:t>carbon offsetting</w:t>
            </w:r>
            <w:r>
              <w:t xml:space="preserve"> via IDXCarbon</w:t>
            </w:r>
          </w:p>
        </w:tc>
      </w:tr>
      <w:tr w:rsidR="00A04C2C" w14:paraId="562995E3" w14:textId="77777777">
        <w:tc>
          <w:tcPr>
            <w:tcW w:w="1980" w:type="dxa"/>
          </w:tcPr>
          <w:p w14:paraId="2070B04F" w14:textId="77777777" w:rsidR="00A04C2C" w:rsidRDefault="00B25BB0">
            <w:r>
              <w:rPr>
                <w:b/>
                <w:bCs/>
              </w:rPr>
              <w:t>Sosial (S)</w:t>
            </w:r>
          </w:p>
        </w:tc>
        <w:tc>
          <w:tcPr>
            <w:tcW w:w="1980" w:type="dxa"/>
          </w:tcPr>
          <w:p w14:paraId="1E287FDF" w14:textId="77777777" w:rsidR="00A04C2C" w:rsidRDefault="00B25BB0">
            <w:r>
              <w:t>Kesejahteraan karyawan, keberagaman, K3, rantai pasokan</w:t>
            </w:r>
          </w:p>
        </w:tc>
        <w:tc>
          <w:tcPr>
            <w:tcW w:w="1980" w:type="dxa"/>
          </w:tcPr>
          <w:p w14:paraId="12BE5832" w14:textId="77777777" w:rsidR="00A04C2C" w:rsidRDefault="00B25BB0">
            <w:r>
              <w:t>Tingkat kecelakaan kerja (LTIR), rasio gender di manajemen (%), perputaran karyawan (%)</w:t>
            </w:r>
          </w:p>
        </w:tc>
        <w:tc>
          <w:tcPr>
            <w:tcW w:w="1980" w:type="dxa"/>
          </w:tcPr>
          <w:p w14:paraId="2B4A22E6" w14:textId="77777777" w:rsidR="00A04C2C" w:rsidRDefault="00B25BB0">
            <w:r>
              <w:t>Program pelatihan, audit pemasok, program komunitas lokal</w:t>
            </w:r>
          </w:p>
        </w:tc>
      </w:tr>
      <w:tr w:rsidR="00A04C2C" w14:paraId="34D1AB3B" w14:textId="77777777">
        <w:tc>
          <w:tcPr>
            <w:tcW w:w="1980" w:type="dxa"/>
          </w:tcPr>
          <w:p w14:paraId="1468187C" w14:textId="77777777" w:rsidR="00A04C2C" w:rsidRDefault="00B25BB0">
            <w:r>
              <w:rPr>
                <w:b/>
                <w:bCs/>
              </w:rPr>
              <w:t>Tata Kelola (G)</w:t>
            </w:r>
          </w:p>
        </w:tc>
        <w:tc>
          <w:tcPr>
            <w:tcW w:w="1980" w:type="dxa"/>
          </w:tcPr>
          <w:p w14:paraId="787FF98D" w14:textId="77777777" w:rsidR="00A04C2C" w:rsidRDefault="00B25BB0">
            <w:r>
              <w:t>Transparansi laporan, anti-korupsi, komposisi dewan</w:t>
            </w:r>
          </w:p>
        </w:tc>
        <w:tc>
          <w:tcPr>
            <w:tcW w:w="1980" w:type="dxa"/>
          </w:tcPr>
          <w:p w14:paraId="60959261" w14:textId="77777777" w:rsidR="00A04C2C" w:rsidRDefault="00B25BB0">
            <w:r>
              <w:t>Persentase komisaris independen (%), kasu</w:t>
            </w:r>
            <w:r>
              <w:t>s pelanggaran etika, skor audit internal</w:t>
            </w:r>
          </w:p>
        </w:tc>
        <w:tc>
          <w:tcPr>
            <w:tcW w:w="1980" w:type="dxa"/>
          </w:tcPr>
          <w:p w14:paraId="651D6C53" w14:textId="77777777" w:rsidR="00A04C2C" w:rsidRDefault="00B25BB0">
            <w:r>
              <w:t xml:space="preserve">Kebijakan anti-suap, rotasi auditor, mekanisme </w:t>
            </w:r>
            <w:r>
              <w:rPr>
                <w:i/>
                <w:iCs/>
              </w:rPr>
              <w:t>whistleblower</w:t>
            </w:r>
          </w:p>
        </w:tc>
      </w:tr>
    </w:tbl>
    <w:p w14:paraId="6AA2D2AB" w14:textId="77777777" w:rsidR="00A04C2C" w:rsidRDefault="00B25BB0">
      <w:r>
        <w:t>Soal emisi, ada tiga “</w:t>
      </w:r>
      <w:r>
        <w:rPr>
          <w:i/>
          <w:iCs/>
        </w:rPr>
        <w:t>scope</w:t>
      </w:r>
      <w:r>
        <w:t xml:space="preserve">” yang sering muncul di pelaporan dan layak dipahami eksekutif. </w:t>
      </w:r>
      <w:r>
        <w:rPr>
          <w:i/>
          <w:iCs/>
        </w:rPr>
        <w:t>Scope 1</w:t>
      </w:r>
      <w:r>
        <w:t xml:space="preserve"> </w:t>
      </w:r>
      <w:r>
        <w:t xml:space="preserve">adalah emisi langsung dari operasi sendiri (mis. boiler, kendaraan perusahaan). </w:t>
      </w:r>
      <w:r>
        <w:rPr>
          <w:i/>
          <w:iCs/>
        </w:rPr>
        <w:t>Scope 2</w:t>
      </w:r>
      <w:r>
        <w:t xml:space="preserve"> adalah emisi tidak langsung dari energi yang dibeli, terutama listrik. </w:t>
      </w:r>
      <w:r>
        <w:rPr>
          <w:i/>
          <w:iCs/>
        </w:rPr>
        <w:t>Scope 3</w:t>
      </w:r>
      <w:r>
        <w:t xml:space="preserve"> adalah emisi sepanjang rantai nilai, dari pemasok hingga penggunaan produk oleh konsumen,</w:t>
      </w:r>
      <w:r>
        <w:t xml:space="preserve"> dan biasanya yang paling besar sekaligus paling sulit dihitung.</w:t>
      </w:r>
    </w:p>
    <w:p w14:paraId="0378DAF8" w14:textId="77777777" w:rsidR="00A04C2C" w:rsidRDefault="00B25BB0">
      <w:r>
        <w:t xml:space="preserve">Di sinilah ESG sering disalahpahami sebagai CSR. Keduanya berbeda. </w:t>
      </w:r>
      <w:r>
        <w:rPr>
          <w:i/>
          <w:iCs/>
        </w:rPr>
        <w:t>Corporate Social Responsibility</w:t>
      </w:r>
      <w:r>
        <w:t xml:space="preserve"> (CSR) umumnya bersifat sukarela: donasi, program filantropi, dan kegiatan komunitas. ESG ada</w:t>
      </w:r>
      <w:r>
        <w:t>lah kerangka terstruktur yang menghasilkan metrik untuk dilaporkan dan dinilai pihak eksternal. CSR bisa menjadi salah satu indikator di pilar Sosial, tetapi ESG mencakup jauh lebih luas, termasuk emisi karbon dan tata kelola dewan.</w:t>
      </w:r>
    </w:p>
    <w:tbl>
      <w:tblPr>
        <w:tblStyle w:val="TableNormal0"/>
        <w:tblW w:w="5000" w:type="pct"/>
        <w:tblInd w:w="0" w:type="dxa"/>
        <w:tblLayout w:type="fixed"/>
        <w:tblLook w:val="0020" w:firstRow="1" w:lastRow="0" w:firstColumn="0" w:lastColumn="0" w:noHBand="0" w:noVBand="0"/>
      </w:tblPr>
      <w:tblGrid>
        <w:gridCol w:w="3009"/>
        <w:gridCol w:w="3010"/>
        <w:gridCol w:w="3010"/>
      </w:tblGrid>
      <w:tr w:rsidR="00A04C2C" w14:paraId="09668AE5" w14:textId="77777777">
        <w:trPr>
          <w:tblHeader/>
        </w:trPr>
        <w:tc>
          <w:tcPr>
            <w:tcW w:w="2640" w:type="dxa"/>
          </w:tcPr>
          <w:p w14:paraId="4E74FE56" w14:textId="77777777" w:rsidR="00A04C2C" w:rsidRDefault="00B25BB0">
            <w:r>
              <w:t>Aspek</w:t>
            </w:r>
          </w:p>
        </w:tc>
        <w:tc>
          <w:tcPr>
            <w:tcW w:w="2640" w:type="dxa"/>
          </w:tcPr>
          <w:p w14:paraId="794E0374" w14:textId="77777777" w:rsidR="00A04C2C" w:rsidRDefault="00B25BB0">
            <w:r>
              <w:t>CSR</w:t>
            </w:r>
          </w:p>
        </w:tc>
        <w:tc>
          <w:tcPr>
            <w:tcW w:w="2640" w:type="dxa"/>
          </w:tcPr>
          <w:p w14:paraId="40E76DA8" w14:textId="77777777" w:rsidR="00A04C2C" w:rsidRDefault="00B25BB0">
            <w:r>
              <w:t>ESG</w:t>
            </w:r>
          </w:p>
        </w:tc>
      </w:tr>
      <w:tr w:rsidR="00A04C2C" w14:paraId="2AE3FD71" w14:textId="77777777">
        <w:tc>
          <w:tcPr>
            <w:tcW w:w="2640" w:type="dxa"/>
          </w:tcPr>
          <w:p w14:paraId="3DEB23E5" w14:textId="77777777" w:rsidR="00A04C2C" w:rsidRDefault="00B25BB0">
            <w:r>
              <w:t>Sifat</w:t>
            </w:r>
          </w:p>
        </w:tc>
        <w:tc>
          <w:tcPr>
            <w:tcW w:w="2640" w:type="dxa"/>
          </w:tcPr>
          <w:p w14:paraId="00CCE495" w14:textId="77777777" w:rsidR="00A04C2C" w:rsidRDefault="00B25BB0">
            <w:r>
              <w:t>Um</w:t>
            </w:r>
            <w:r>
              <w:t>umnya sukarela</w:t>
            </w:r>
          </w:p>
        </w:tc>
        <w:tc>
          <w:tcPr>
            <w:tcW w:w="2640" w:type="dxa"/>
          </w:tcPr>
          <w:p w14:paraId="4F69DA2E" w14:textId="77777777" w:rsidR="00A04C2C" w:rsidRDefault="00B25BB0">
            <w:r>
              <w:t>Terstruktur, terukur, dilaporkan</w:t>
            </w:r>
          </w:p>
        </w:tc>
      </w:tr>
      <w:tr w:rsidR="00A04C2C" w14:paraId="57010F4D" w14:textId="77777777">
        <w:tc>
          <w:tcPr>
            <w:tcW w:w="2640" w:type="dxa"/>
          </w:tcPr>
          <w:p w14:paraId="077E981E" w14:textId="77777777" w:rsidR="00A04C2C" w:rsidRDefault="00B25BB0">
            <w:r>
              <w:t>Fokus</w:t>
            </w:r>
          </w:p>
        </w:tc>
        <w:tc>
          <w:tcPr>
            <w:tcW w:w="2640" w:type="dxa"/>
          </w:tcPr>
          <w:p w14:paraId="1E9E75FE" w14:textId="77777777" w:rsidR="00A04C2C" w:rsidRDefault="00B25BB0">
            <w:r>
              <w:t>Tanggung jawab sosial / filantropi</w:t>
            </w:r>
          </w:p>
        </w:tc>
        <w:tc>
          <w:tcPr>
            <w:tcW w:w="2640" w:type="dxa"/>
          </w:tcPr>
          <w:p w14:paraId="40214280" w14:textId="77777777" w:rsidR="00A04C2C" w:rsidRDefault="00B25BB0">
            <w:r>
              <w:t>Risiko &amp; kinerja non-finansial (E+S+G)</w:t>
            </w:r>
          </w:p>
        </w:tc>
      </w:tr>
      <w:tr w:rsidR="00A04C2C" w14:paraId="2929C390" w14:textId="77777777">
        <w:tc>
          <w:tcPr>
            <w:tcW w:w="2640" w:type="dxa"/>
          </w:tcPr>
          <w:p w14:paraId="5EB4DEE7" w14:textId="77777777" w:rsidR="00A04C2C" w:rsidRDefault="00B25BB0">
            <w:r>
              <w:t>Dinilai oleh</w:t>
            </w:r>
          </w:p>
        </w:tc>
        <w:tc>
          <w:tcPr>
            <w:tcW w:w="2640" w:type="dxa"/>
          </w:tcPr>
          <w:p w14:paraId="5BD82D44" w14:textId="77777777" w:rsidR="00A04C2C" w:rsidRDefault="00B25BB0">
            <w:r>
              <w:t>Publik, komunitas</w:t>
            </w:r>
          </w:p>
        </w:tc>
        <w:tc>
          <w:tcPr>
            <w:tcW w:w="2640" w:type="dxa"/>
          </w:tcPr>
          <w:p w14:paraId="0F4D7262" w14:textId="77777777" w:rsidR="00A04C2C" w:rsidRDefault="00B25BB0">
            <w:r>
              <w:t xml:space="preserve">Investor, </w:t>
            </w:r>
            <w:r>
              <w:rPr>
                <w:i/>
                <w:iCs/>
              </w:rPr>
              <w:t>rating agency</w:t>
            </w:r>
            <w:r>
              <w:t>, regulator, auditor</w:t>
            </w:r>
          </w:p>
        </w:tc>
      </w:tr>
      <w:tr w:rsidR="00A04C2C" w14:paraId="4FACF02A" w14:textId="77777777">
        <w:tc>
          <w:tcPr>
            <w:tcW w:w="2640" w:type="dxa"/>
          </w:tcPr>
          <w:p w14:paraId="42403A5D" w14:textId="77777777" w:rsidR="00A04C2C" w:rsidRDefault="00B25BB0">
            <w:r>
              <w:lastRenderedPageBreak/>
              <w:t>Output</w:t>
            </w:r>
          </w:p>
        </w:tc>
        <w:tc>
          <w:tcPr>
            <w:tcW w:w="2640" w:type="dxa"/>
          </w:tcPr>
          <w:p w14:paraId="350BCD77" w14:textId="77777777" w:rsidR="00A04C2C" w:rsidRDefault="00B25BB0">
            <w:r>
              <w:t>Program/inisiatif</w:t>
            </w:r>
          </w:p>
        </w:tc>
        <w:tc>
          <w:tcPr>
            <w:tcW w:w="2640" w:type="dxa"/>
          </w:tcPr>
          <w:p w14:paraId="20D6133E" w14:textId="77777777" w:rsidR="00A04C2C" w:rsidRDefault="00B25BB0">
            <w:r>
              <w:t>Metrik, laporan, skor ESG</w:t>
            </w:r>
          </w:p>
        </w:tc>
      </w:tr>
    </w:tbl>
    <w:p w14:paraId="38864F67" w14:textId="77777777" w:rsidR="00A04C2C" w:rsidRDefault="00B25BB0">
      <w:pPr>
        <w:pStyle w:val="Heading2"/>
      </w:pPr>
      <w:bookmarkStart w:id="4" w:name="X9cd791581da9513e12958c009d51136ccb58f61"/>
      <w:bookmarkEnd w:id="3"/>
      <w:r>
        <w:t>Mengapa ESG Penting bagi Perusahaan Indonesia?</w:t>
      </w:r>
    </w:p>
    <w:p w14:paraId="13A0FB96" w14:textId="77777777" w:rsidR="00A04C2C" w:rsidRDefault="00B25BB0">
      <w:r>
        <w:t>ESG penting karena menyentuh tiga hal nyata: akses modal, kepatuhan, dan daya saing ekspor. Investor global semakin memasukkan kinerja keberlanjutan ke keputusan mereka, regulator In</w:t>
      </w:r>
      <w:r>
        <w:t>donesia sudah mewajibkan pelaporannya, dan pembeli di Eropa serta Jepang mulai menuntut data ESG dari pemasok. Mengabaikan ESG kini berarti menambah biaya modal dan menyempitkan pasar.</w:t>
      </w:r>
    </w:p>
    <w:p w14:paraId="21E062D1" w14:textId="77777777" w:rsidR="00A04C2C" w:rsidRDefault="00B25BB0">
      <w:r>
        <w:t>Mulai dari sisi investor. PwC Global Investor Survey 2025, yang mensurv</w:t>
      </w:r>
      <w:r>
        <w:t xml:space="preserve">ei 1.074 profesional investasi di 26 negara, menemukan </w:t>
      </w:r>
      <w:r>
        <w:rPr>
          <w:b/>
          <w:bCs/>
        </w:rPr>
        <w:t>78% investor menilai informasi keberlanjutan berdampak positif</w:t>
      </w:r>
      <w:r>
        <w:t xml:space="preserve"> pada keterlibatan mereka dengan perusahaan, dan </w:t>
      </w:r>
      <w:r>
        <w:rPr>
          <w:b/>
          <w:bCs/>
        </w:rPr>
        <w:t>84% ingin perusahaan mempertahankan atau menambah investasi adaptasi iklim</w:t>
      </w:r>
      <w:r>
        <w:t>. Bagi emiten ya</w:t>
      </w:r>
      <w:r>
        <w:t>ng mencari dana, sinyal ini bukan retorika; ia memengaruhi seberapa mudah dan semurah apa modal mengalir.</w:t>
      </w:r>
    </w:p>
    <w:p w14:paraId="383B9DAE" w14:textId="77777777" w:rsidR="00A04C2C" w:rsidRDefault="00B25BB0">
      <w:r>
        <w:t xml:space="preserve">Sinyal domestik juga menguat. Berdasarkan data OJK/IDX, lebih dari </w:t>
      </w:r>
      <w:r>
        <w:rPr>
          <w:b/>
          <w:bCs/>
        </w:rPr>
        <w:t>880 emiten</w:t>
      </w:r>
      <w:r>
        <w:t xml:space="preserve"> di Bursa Efek Indonesia telah menerbitkan laporan keberlanjutan per akhi</w:t>
      </w:r>
      <w:r>
        <w:t xml:space="preserve">r 2024, naik lebih dari </w:t>
      </w:r>
      <w:r>
        <w:rPr>
          <w:b/>
          <w:bCs/>
        </w:rPr>
        <w:t>74% dari sekitar 505 emiten pada 2022</w:t>
      </w:r>
      <w:r>
        <w:t>. Pelaporan ESG sudah menjadi norma pasar, bukan inisiatif segelintir perusahaan besar.</w:t>
      </w:r>
    </w:p>
    <w:p w14:paraId="621CE710" w14:textId="77777777" w:rsidR="00A04C2C" w:rsidRDefault="00B25BB0">
      <w:r>
        <w:t>Ada lapisan ketiga yang sering terlewat: daya saing ekspor. Perusahaan yang memasok ke pelanggan Eropa maki</w:t>
      </w:r>
      <w:r>
        <w:t>n sering diminta menunjukkan jejak karbon produk dan praktik rantai pasokannya. Tanpa data ESG yang rapi, kontrak bisa lepas bukan karena harga, melainkan karena perusahaan tak bisa membuktikan klaimnya. Manfaat lain yang konkret:</w:t>
      </w:r>
    </w:p>
    <w:p w14:paraId="09D93C43" w14:textId="77777777" w:rsidR="00A04C2C" w:rsidRDefault="00B25BB0">
      <w:pPr>
        <w:numPr>
          <w:ilvl w:val="0"/>
          <w:numId w:val="7"/>
        </w:numPr>
      </w:pPr>
      <w:r>
        <w:rPr>
          <w:b/>
          <w:bCs/>
        </w:rPr>
        <w:t>Mitigasi risiko:</w:t>
      </w:r>
      <w:r>
        <w:t xml:space="preserve"> isu ling</w:t>
      </w:r>
      <w:r>
        <w:t>kungan dan tata kelola yang terdeteksi dini lebih murah ditangani daripada saat menjadi krisis.</w:t>
      </w:r>
    </w:p>
    <w:p w14:paraId="6DE99BF2" w14:textId="77777777" w:rsidR="00A04C2C" w:rsidRDefault="00B25BB0">
      <w:pPr>
        <w:numPr>
          <w:ilvl w:val="0"/>
          <w:numId w:val="7"/>
        </w:numPr>
      </w:pPr>
      <w:r>
        <w:rPr>
          <w:b/>
          <w:bCs/>
        </w:rPr>
        <w:t>Efisiensi biaya:</w:t>
      </w:r>
      <w:r>
        <w:t xml:space="preserve"> pelacakan energi dan limbah kerap menemukan pemborosan yang selama ini tak terlihat.</w:t>
      </w:r>
    </w:p>
    <w:p w14:paraId="3610894D" w14:textId="77777777" w:rsidR="00A04C2C" w:rsidRDefault="00B25BB0">
      <w:pPr>
        <w:numPr>
          <w:ilvl w:val="0"/>
          <w:numId w:val="7"/>
        </w:numPr>
      </w:pPr>
      <w:r>
        <w:rPr>
          <w:b/>
          <w:bCs/>
        </w:rPr>
        <w:t>Reputasi dan lisensi sosial:</w:t>
      </w:r>
      <w:r>
        <w:t xml:space="preserve"> kepercayaan komunitas dan reg</w:t>
      </w:r>
      <w:r>
        <w:t>ulator memperlancar perizinan dan operasi.</w:t>
      </w:r>
    </w:p>
    <w:p w14:paraId="33702883" w14:textId="77777777" w:rsidR="00A04C2C" w:rsidRDefault="00B25BB0">
      <w:pPr>
        <w:pStyle w:val="Heading2"/>
      </w:pPr>
      <w:bookmarkStart w:id="5" w:name="X8b3e624f8a8fd72dcd4202405e2c1f91e906635"/>
      <w:bookmarkEnd w:id="4"/>
      <w:r>
        <w:t>ESG dan Regulasi di Indonesia: Dari POJK 51 hingga Bursa Karbon</w:t>
      </w:r>
    </w:p>
    <w:p w14:paraId="70CF05C0" w14:textId="77777777" w:rsidR="00A04C2C" w:rsidRDefault="00B25BB0">
      <w:r>
        <w:t xml:space="preserve">Regulasi ESG di Indonesia bukan satu aturan, melainkan lanskap berlapis yang terus bertambah. Fondasinya adalah POJK 51/POJK.03/2017 yang mewajibkan </w:t>
      </w:r>
      <w:r>
        <w:t>Laporan Keberlanjutan; di atasnya bertumpuk Perpres 110/2025 tentang nilai ekonomi karbon, taksonomi keuangan berkelanjutan terbaru, dan standar pengungkapan baru yang berlaku 2027. Arahnya satu: makin ketat dan makin menuntut data.</w:t>
      </w:r>
    </w:p>
    <w:p w14:paraId="511C809F" w14:textId="77777777" w:rsidR="00A04C2C" w:rsidRDefault="00B25BB0">
      <w:r>
        <w:t xml:space="preserve">POJK 51 ditetapkan </w:t>
      </w:r>
      <w:r>
        <w:rPr>
          <w:b/>
          <w:bCs/>
        </w:rPr>
        <w:t>27 J</w:t>
      </w:r>
      <w:r>
        <w:rPr>
          <w:b/>
          <w:bCs/>
        </w:rPr>
        <w:t>uli 2017</w:t>
      </w:r>
      <w:r>
        <w:t xml:space="preserve"> dan mulai efektif bertahap sejak 2019. Aturan ini mewajibkan tiga kelompok entitas, yaitu Lembaga Jasa Keuangan (perbankan, asuransi, dan sejenisnya), emiten, serta perusahaan publik, untuk menyusun Laporan Keberlanjutan sekaligus Rencana Aksi Keu</w:t>
      </w:r>
      <w:r>
        <w:t xml:space="preserve">angan Berkelanjutan (RAKB) untuk jangka pendek dan panjang. OJK berwenang menjatuhkan sanksi administratif bagi yang tidak patuh. Karena pelaporan ini menarik data dari hampir seluruh fungsi bisnis, banyak perusahaan baru </w:t>
      </w:r>
      <w:r>
        <w:lastRenderedPageBreak/>
        <w:t xml:space="preserve">menyadari bahwa angkanya berserak </w:t>
      </w:r>
      <w:r>
        <w:t xml:space="preserve">di belasan sistem dan spreadsheet. Akar penyelesaiannya ada pada </w:t>
      </w:r>
      <w:hyperlink r:id="rId5">
        <w:r>
          <w:rPr>
            <w:rStyle w:val="Hyperlink"/>
          </w:rPr>
          <w:t>sistem ERP modern</w:t>
        </w:r>
      </w:hyperlink>
      <w:r>
        <w:t xml:space="preserve"> sebagai sumber data tunggal.</w:t>
      </w:r>
    </w:p>
    <w:p w14:paraId="4D7F46ED" w14:textId="77777777" w:rsidR="00A04C2C" w:rsidRDefault="00B25BB0">
      <w:r>
        <w:t>Lapisan berikutnya bergerak cepat. Tabel di bawah merangkum kronologinya.</w:t>
      </w:r>
    </w:p>
    <w:tbl>
      <w:tblPr>
        <w:tblStyle w:val="TableNormal0"/>
        <w:tblW w:w="5000" w:type="pct"/>
        <w:tblInd w:w="0" w:type="dxa"/>
        <w:tblLayout w:type="fixed"/>
        <w:tblLook w:val="0020" w:firstRow="1" w:lastRow="0" w:firstColumn="0" w:lastColumn="0" w:noHBand="0" w:noVBand="0"/>
      </w:tblPr>
      <w:tblGrid>
        <w:gridCol w:w="2258"/>
        <w:gridCol w:w="2257"/>
        <w:gridCol w:w="2257"/>
        <w:gridCol w:w="2257"/>
      </w:tblGrid>
      <w:tr w:rsidR="00A04C2C" w14:paraId="31469AF4" w14:textId="77777777">
        <w:trPr>
          <w:tblHeader/>
        </w:trPr>
        <w:tc>
          <w:tcPr>
            <w:tcW w:w="1980" w:type="dxa"/>
          </w:tcPr>
          <w:p w14:paraId="26D0D2E8" w14:textId="77777777" w:rsidR="00A04C2C" w:rsidRDefault="00B25BB0">
            <w:r>
              <w:t>Regulasi</w:t>
            </w:r>
          </w:p>
        </w:tc>
        <w:tc>
          <w:tcPr>
            <w:tcW w:w="1980" w:type="dxa"/>
          </w:tcPr>
          <w:p w14:paraId="3437DBD5" w14:textId="77777777" w:rsidR="00A04C2C" w:rsidRDefault="00B25BB0">
            <w:r>
              <w:t>Tanggal</w:t>
            </w:r>
          </w:p>
        </w:tc>
        <w:tc>
          <w:tcPr>
            <w:tcW w:w="1980" w:type="dxa"/>
          </w:tcPr>
          <w:p w14:paraId="5DF95424" w14:textId="77777777" w:rsidR="00A04C2C" w:rsidRDefault="00B25BB0">
            <w:r>
              <w:t>Cakupan Utama</w:t>
            </w:r>
          </w:p>
        </w:tc>
        <w:tc>
          <w:tcPr>
            <w:tcW w:w="1980" w:type="dxa"/>
          </w:tcPr>
          <w:p w14:paraId="411DDA25" w14:textId="77777777" w:rsidR="00A04C2C" w:rsidRDefault="00B25BB0">
            <w:r>
              <w:t>Status</w:t>
            </w:r>
          </w:p>
        </w:tc>
      </w:tr>
      <w:tr w:rsidR="00A04C2C" w14:paraId="25DE84DC" w14:textId="77777777">
        <w:tc>
          <w:tcPr>
            <w:tcW w:w="1980" w:type="dxa"/>
          </w:tcPr>
          <w:p w14:paraId="7CB3507D" w14:textId="77777777" w:rsidR="00A04C2C" w:rsidRDefault="00B25BB0">
            <w:r>
              <w:t>POJK No. 51/POJK.03/2017</w:t>
            </w:r>
          </w:p>
        </w:tc>
        <w:tc>
          <w:tcPr>
            <w:tcW w:w="1980" w:type="dxa"/>
          </w:tcPr>
          <w:p w14:paraId="0623C10D" w14:textId="77777777" w:rsidR="00A04C2C" w:rsidRDefault="00B25BB0">
            <w:r>
              <w:t>Ditetapkan 27 Jul 2017; efektif bertahap 2019</w:t>
            </w:r>
          </w:p>
        </w:tc>
        <w:tc>
          <w:tcPr>
            <w:tcW w:w="1980" w:type="dxa"/>
          </w:tcPr>
          <w:p w14:paraId="24B1CA18" w14:textId="77777777" w:rsidR="00A04C2C" w:rsidRDefault="00B25BB0">
            <w:r>
              <w:t>Laporan Keberlanjutan + RAKB wajib bagi LJK, emiten, perusahaan publik</w:t>
            </w:r>
          </w:p>
        </w:tc>
        <w:tc>
          <w:tcPr>
            <w:tcW w:w="1980" w:type="dxa"/>
          </w:tcPr>
          <w:p w14:paraId="53A2C14D" w14:textId="77777777" w:rsidR="00A04C2C" w:rsidRDefault="00B25BB0">
            <w:r>
              <w:t>Berlaku</w:t>
            </w:r>
          </w:p>
        </w:tc>
      </w:tr>
      <w:tr w:rsidR="00A04C2C" w14:paraId="75E41283" w14:textId="77777777">
        <w:tc>
          <w:tcPr>
            <w:tcW w:w="1980" w:type="dxa"/>
          </w:tcPr>
          <w:p w14:paraId="649BB640" w14:textId="77777777" w:rsidR="00A04C2C" w:rsidRDefault="00B25BB0">
            <w:r>
              <w:t>Perpres No. 110 Tahun 2025</w:t>
            </w:r>
          </w:p>
        </w:tc>
        <w:tc>
          <w:tcPr>
            <w:tcW w:w="1980" w:type="dxa"/>
          </w:tcPr>
          <w:p w14:paraId="44AB9648" w14:textId="77777777" w:rsidR="00A04C2C" w:rsidRDefault="00B25BB0">
            <w:r>
              <w:t>Ditetapkan 10 Okt 2025</w:t>
            </w:r>
          </w:p>
        </w:tc>
        <w:tc>
          <w:tcPr>
            <w:tcW w:w="1980" w:type="dxa"/>
          </w:tcPr>
          <w:p w14:paraId="05B12A9E" w14:textId="77777777" w:rsidR="00A04C2C" w:rsidRDefault="00B25BB0">
            <w:r>
              <w:t>Instrumen Nilai Ekonomi Karbon, perdagangan karbon, pengendalian emisi GRK nasional</w:t>
            </w:r>
          </w:p>
        </w:tc>
        <w:tc>
          <w:tcPr>
            <w:tcW w:w="1980" w:type="dxa"/>
          </w:tcPr>
          <w:p w14:paraId="78BC966F" w14:textId="77777777" w:rsidR="00A04C2C" w:rsidRDefault="00B25BB0">
            <w:r>
              <w:t>Berlaku</w:t>
            </w:r>
          </w:p>
        </w:tc>
      </w:tr>
      <w:tr w:rsidR="00A04C2C" w14:paraId="0CCCA6B0" w14:textId="77777777">
        <w:tc>
          <w:tcPr>
            <w:tcW w:w="1980" w:type="dxa"/>
          </w:tcPr>
          <w:p w14:paraId="49A724E6" w14:textId="77777777" w:rsidR="00A04C2C" w:rsidRDefault="00B25BB0">
            <w:r>
              <w:t>TKBI Versi 3 (OJK)</w:t>
            </w:r>
          </w:p>
        </w:tc>
        <w:tc>
          <w:tcPr>
            <w:tcW w:w="1980" w:type="dxa"/>
          </w:tcPr>
          <w:p w14:paraId="2C3F6864" w14:textId="77777777" w:rsidR="00A04C2C" w:rsidRDefault="00B25BB0">
            <w:r>
              <w:t>Diterbitkan Ja</w:t>
            </w:r>
            <w:r>
              <w:t>n 2026; diluncurkan resmi 5 Feb 2026</w:t>
            </w:r>
          </w:p>
        </w:tc>
        <w:tc>
          <w:tcPr>
            <w:tcW w:w="1980" w:type="dxa"/>
          </w:tcPr>
          <w:p w14:paraId="1794A031" w14:textId="77777777" w:rsidR="00A04C2C" w:rsidRDefault="00B25BB0">
            <w:r>
              <w:t>Taksonomi sektor keuangan berkelanjutan; mendukung target net zero</w:t>
            </w:r>
          </w:p>
        </w:tc>
        <w:tc>
          <w:tcPr>
            <w:tcW w:w="1980" w:type="dxa"/>
          </w:tcPr>
          <w:p w14:paraId="3BD245CD" w14:textId="77777777" w:rsidR="00A04C2C" w:rsidRDefault="00B25BB0">
            <w:r>
              <w:t>Berlaku</w:t>
            </w:r>
          </w:p>
        </w:tc>
      </w:tr>
      <w:tr w:rsidR="00A04C2C" w14:paraId="0917A8DC" w14:textId="77777777">
        <w:tc>
          <w:tcPr>
            <w:tcW w:w="1980" w:type="dxa"/>
          </w:tcPr>
          <w:p w14:paraId="22235FEB" w14:textId="77777777" w:rsidR="00A04C2C" w:rsidRDefault="00B25BB0">
            <w:r>
              <w:t>PSPK 1 &amp; 2 (IAI, berbasis IFRS S1/S2)</w:t>
            </w:r>
          </w:p>
        </w:tc>
        <w:tc>
          <w:tcPr>
            <w:tcW w:w="1980" w:type="dxa"/>
          </w:tcPr>
          <w:p w14:paraId="422373C4" w14:textId="77777777" w:rsidR="00A04C2C" w:rsidRDefault="00B25BB0">
            <w:r>
              <w:t>Diratifikasi 1 Jul 2025</w:t>
            </w:r>
          </w:p>
        </w:tc>
        <w:tc>
          <w:tcPr>
            <w:tcW w:w="1980" w:type="dxa"/>
          </w:tcPr>
          <w:p w14:paraId="651D0549" w14:textId="77777777" w:rsidR="00A04C2C" w:rsidRDefault="00B25BB0">
            <w:r>
              <w:t>Standar pengungkapan keberlanjutan — umum (PSPK 1) + iklim (PSPK 2)</w:t>
            </w:r>
          </w:p>
        </w:tc>
        <w:tc>
          <w:tcPr>
            <w:tcW w:w="1980" w:type="dxa"/>
          </w:tcPr>
          <w:p w14:paraId="2560AE9E" w14:textId="77777777" w:rsidR="00A04C2C" w:rsidRDefault="00B25BB0">
            <w:r>
              <w:t>Berlaku 1 Jan 2027 (transisi 3 tahun)</w:t>
            </w:r>
          </w:p>
        </w:tc>
      </w:tr>
      <w:tr w:rsidR="00A04C2C" w14:paraId="556445D1" w14:textId="77777777">
        <w:tc>
          <w:tcPr>
            <w:tcW w:w="1980" w:type="dxa"/>
          </w:tcPr>
          <w:p w14:paraId="6BB5C202" w14:textId="77777777" w:rsidR="00A04C2C" w:rsidRDefault="00B25BB0">
            <w:r>
              <w:t>IDXCarbon (BEI/OJK)</w:t>
            </w:r>
          </w:p>
        </w:tc>
        <w:tc>
          <w:tcPr>
            <w:tcW w:w="1980" w:type="dxa"/>
          </w:tcPr>
          <w:p w14:paraId="36E0A882" w14:textId="77777777" w:rsidR="00A04C2C" w:rsidRDefault="00B25BB0">
            <w:r>
              <w:t>Diluncurkan 26 Sep 2023</w:t>
            </w:r>
          </w:p>
        </w:tc>
        <w:tc>
          <w:tcPr>
            <w:tcW w:w="1980" w:type="dxa"/>
          </w:tcPr>
          <w:p w14:paraId="63AD5EB6" w14:textId="77777777" w:rsidR="00A04C2C" w:rsidRDefault="00B25BB0">
            <w:r>
              <w:t>Pasar karbon; perdagangan unit karbon domestik &amp; internasional</w:t>
            </w:r>
          </w:p>
        </w:tc>
        <w:tc>
          <w:tcPr>
            <w:tcW w:w="1980" w:type="dxa"/>
          </w:tcPr>
          <w:p w14:paraId="0D176402" w14:textId="77777777" w:rsidR="00A04C2C" w:rsidRDefault="00B25BB0">
            <w:r>
              <w:t>Beroperasi</w:t>
            </w:r>
          </w:p>
        </w:tc>
      </w:tr>
    </w:tbl>
    <w:p w14:paraId="02D73966" w14:textId="77777777" w:rsidR="00A04C2C" w:rsidRDefault="00B25BB0">
      <w:r>
        <w:t>Perpres 110/2025, yang ditetap</w:t>
      </w:r>
      <w:r>
        <w:t>kan 10 Oktober 2025 dan memuat 103 pasal, menjadi dasar hukum bagi perdagangan, pungutan, dan alokasi karbon nasional, menggantikan Perpres 98/2021. Sementara itu, Taksonomi untuk Keuangan Berkelanjutan Indonesia (TKBI) Versi 3 diterbitkan OJK pada Januari</w:t>
      </w:r>
      <w:r>
        <w:t xml:space="preserve"> 2026 dan diluncurkan resmi di Pertemuan Tahunan Industri Jasa Keuangan pada 5 Februari 2026, dengan cakupan sektor pertanian, kehutanan, hingga manufaktur.</w:t>
      </w:r>
    </w:p>
    <w:p w14:paraId="15C1A2B3" w14:textId="77777777" w:rsidR="00A04C2C" w:rsidRDefault="00B25BB0">
      <w:r>
        <w:t>Satu hal yang perlu dijernihkan: POJK 51 dan PSPK adalah dua rezim berbeda, bukan satu instrumen. P</w:t>
      </w:r>
      <w:r>
        <w:t>SPK 1 dan 2, yaitu Standar Pengungkapan Keberlanjutan berbasis IFRS S1 dan S2, diratifikasi Ikatan Akuntan Indonesia pada 1 Juli 2025 dan baru berlaku efektif 1 Januari 2027 dengan masa transisi tiga tahun. PSPK 2 menjadikan pengungkapan iklim wajib dan ja</w:t>
      </w:r>
      <w:r>
        <w:t>uh lebih spesifik. Artinya, kerangka pelaporan akan terus mengetat menuju 2027.</w:t>
      </w:r>
    </w:p>
    <w:p w14:paraId="408B59B0" w14:textId="77777777" w:rsidR="00A04C2C" w:rsidRDefault="00B25BB0">
      <w:r>
        <w:t xml:space="preserve">Adapun IDXCarbon, Bursa Karbon Indonesia yang diluncurkan 26 September 2023, menghubungkan ESG dengan pasar. Perusahaan dengan emisi berlebih dapat membeli unit </w:t>
      </w:r>
      <w:r>
        <w:lastRenderedPageBreak/>
        <w:t>karbon dari pro</w:t>
      </w:r>
      <w:r>
        <w:t xml:space="preserve">yek pengurangan emisi. Per Agustus 2025, nilai transaksinya mencapai </w:t>
      </w:r>
      <w:r>
        <w:rPr>
          <w:b/>
          <w:bCs/>
        </w:rPr>
        <w:t>Rp 78,37 miliar</w:t>
      </w:r>
      <w:r>
        <w:t xml:space="preserve"> dengan volume </w:t>
      </w:r>
      <w:r>
        <w:rPr>
          <w:b/>
          <w:bCs/>
        </w:rPr>
        <w:t>1,6 juta ton CO₂e</w:t>
      </w:r>
      <w:r>
        <w:t>; angka ini terus diperbarui. Namun perusahaan hanya bisa berpartisipasi serius jika sudah punya data emisi yang terukur.</w:t>
      </w:r>
    </w:p>
    <w:p w14:paraId="3CFC894F" w14:textId="77777777" w:rsidR="00A04C2C" w:rsidRDefault="00B25BB0">
      <w:r>
        <w:rPr>
          <w:i/>
          <w:iCs/>
        </w:rPr>
        <w:t>[Image 02: Timelin</w:t>
      </w:r>
      <w:r>
        <w:rPr>
          <w:i/>
          <w:iCs/>
        </w:rPr>
        <w:t>e horizontal lanskap regulasi ESG Indonesia — penanda dari 2017 (POJK 51), 2023 (IDXCarbon), Okt 2025 (Perpres 110), Feb 2026 (TKBI v3), hingga 2027 (PSPK 1 &amp; 2 berlaku). Garis menanjak untuk menyiratkan momentum yang meningkat. Gaya infografik bersih, war</w:t>
      </w:r>
      <w:r>
        <w:rPr>
          <w:i/>
          <w:iCs/>
        </w:rPr>
        <w:t>na progresif biru ke hijau, teks tanggal Bahasa Indonesia.]</w:t>
      </w:r>
    </w:p>
    <w:p w14:paraId="3F2C6368" w14:textId="77777777" w:rsidR="00A04C2C" w:rsidRDefault="00B25BB0">
      <w:pPr>
        <w:pStyle w:val="Heading2"/>
      </w:pPr>
      <w:bookmarkStart w:id="6" w:name="Xd1cfc62afe95eb429ad3ee9d98722a043b62aa5"/>
      <w:bookmarkEnd w:id="5"/>
      <w:r>
        <w:t>Bagaimana Cara Perusahaan Mulai Menerapkan ESG?</w:t>
      </w:r>
    </w:p>
    <w:p w14:paraId="24EE601A" w14:textId="77777777" w:rsidR="00A04C2C" w:rsidRDefault="00B25BB0">
      <w:r>
        <w:t>Penerapan ESG biasanya berjalan dalam lima langkah bertahap, bukan satu proyek besar sekaligus. Intinya: tentukan isu yang paling material, tetapkan</w:t>
      </w:r>
      <w:r>
        <w:t xml:space="preserve"> metrik dan baseline, kumpulkan data dari sistem inti, laporkan sesuai standar yang berlaku, lalu audit dan perbaiki. Tantangan terberat hampir selalu ada di langkah pengumpulan data.</w:t>
      </w:r>
    </w:p>
    <w:p w14:paraId="67E99EAF" w14:textId="77777777" w:rsidR="00A04C2C" w:rsidRDefault="00B25BB0">
      <w:pPr>
        <w:numPr>
          <w:ilvl w:val="0"/>
          <w:numId w:val="8"/>
        </w:numPr>
      </w:pPr>
      <w:r>
        <w:rPr>
          <w:b/>
          <w:bCs/>
        </w:rPr>
        <w:t>Materiality assessment:</w:t>
      </w:r>
      <w:r>
        <w:t xml:space="preserve"> identifikasi isu ESG yang paling relevan bagi bi</w:t>
      </w:r>
      <w:r>
        <w:t>snis dan pemangku kepentingan. Tidak semua dari belasan metrik sama pentingnya; perusahaan sawit dan bank punya isu material berbeda.</w:t>
      </w:r>
    </w:p>
    <w:p w14:paraId="0879863B" w14:textId="77777777" w:rsidR="00A04C2C" w:rsidRDefault="00B25BB0">
      <w:pPr>
        <w:numPr>
          <w:ilvl w:val="0"/>
          <w:numId w:val="8"/>
        </w:numPr>
      </w:pPr>
      <w:r>
        <w:rPr>
          <w:b/>
          <w:bCs/>
        </w:rPr>
        <w:t>Tetapkan metrik dan baseline:</w:t>
      </w:r>
      <w:r>
        <w:t xml:space="preserve"> pilih indikator terukur per pilar dan catat titik awalnya, agar kemajuan bisa dibuktikan, bu</w:t>
      </w:r>
      <w:r>
        <w:t>kan diklaim.</w:t>
      </w:r>
    </w:p>
    <w:p w14:paraId="391F3311" w14:textId="77777777" w:rsidR="00A04C2C" w:rsidRDefault="00B25BB0">
      <w:pPr>
        <w:numPr>
          <w:ilvl w:val="0"/>
          <w:numId w:val="8"/>
        </w:numPr>
      </w:pPr>
      <w:r>
        <w:rPr>
          <w:b/>
          <w:bCs/>
        </w:rPr>
        <w:t>Kumpulkan data dari sistem inti:</w:t>
      </w:r>
      <w:r>
        <w:t xml:space="preserve"> tarik data energi, produksi, logistik, dan SDM dari ERP, sistem HR, serta sensor operasional. Ini langkah yang paling sering tersendat.</w:t>
      </w:r>
    </w:p>
    <w:p w14:paraId="7CF6DE67" w14:textId="77777777" w:rsidR="00A04C2C" w:rsidRDefault="00B25BB0">
      <w:pPr>
        <w:numPr>
          <w:ilvl w:val="0"/>
          <w:numId w:val="8"/>
        </w:numPr>
      </w:pPr>
      <w:r>
        <w:rPr>
          <w:b/>
          <w:bCs/>
        </w:rPr>
        <w:t>Laporkan sesuai standar:</w:t>
      </w:r>
      <w:r>
        <w:t xml:space="preserve"> susun Laporan Keberlanjutan mengikuti acuan yang </w:t>
      </w:r>
      <w:r>
        <w:t>relevan (GRI, POJK 51, dan PSPK/IFRS S2 mulai 2027).</w:t>
      </w:r>
    </w:p>
    <w:p w14:paraId="25BEFD58" w14:textId="77777777" w:rsidR="00A04C2C" w:rsidRDefault="00B25BB0">
      <w:pPr>
        <w:numPr>
          <w:ilvl w:val="0"/>
          <w:numId w:val="8"/>
        </w:numPr>
      </w:pPr>
      <w:r>
        <w:rPr>
          <w:b/>
          <w:bCs/>
        </w:rPr>
        <w:t>Audit dan perbaikan berkelanjutan:</w:t>
      </w:r>
      <w:r>
        <w:t xml:space="preserve"> verifikasi angka, tutup celah, dan tingkatkan target tiap siklus.</w:t>
      </w:r>
    </w:p>
    <w:p w14:paraId="2B09F069" w14:textId="77777777" w:rsidR="00A04C2C" w:rsidRDefault="00B25BB0">
      <w:r>
        <w:t>Langkah ketiga adalah tempat sebagian besar proyek tersandung. Di lapangan, data ESG sering masih dire</w:t>
      </w:r>
      <w:r>
        <w:t xml:space="preserve">kap manual dari puluhan spreadsheet menjelang tenggat pelaporan: rapuh, sulit ditelusuri, dan rawan salah. Padahal sebagian besar angka itu sebenarnya sudah hidup di sistem operasional perusahaan. Untuk memantau dan menyajikannya, kapabilitas </w:t>
      </w:r>
      <w:hyperlink r:id="rId6">
        <w:r>
          <w:rPr>
            <w:rStyle w:val="Hyperlink"/>
          </w:rPr>
          <w:t>business intelligence</w:t>
        </w:r>
      </w:hyperlink>
      <w:r>
        <w:t xml:space="preserve"> membantu mengubah data mentah menjadi dashboard KPI ESG yang bisa dipantau manajemen secara berkala, bukan setahun sekali.</w:t>
      </w:r>
    </w:p>
    <w:p w14:paraId="3758C503" w14:textId="77777777" w:rsidR="00A04C2C" w:rsidRDefault="00B25BB0">
      <w:pPr>
        <w:pStyle w:val="Heading2"/>
      </w:pPr>
      <w:bookmarkStart w:id="7" w:name="X2bd327e42e4d4f9e167ad7cb65ed7d46cb306e1"/>
      <w:bookmarkEnd w:id="6"/>
      <w:r>
        <w:t>ESG Bukan Sekadar Branding: Mengapa Data yang Dap</w:t>
      </w:r>
      <w:r>
        <w:t>at Diaudit Menentukan</w:t>
      </w:r>
    </w:p>
    <w:p w14:paraId="638AC7E6" w14:textId="77777777" w:rsidR="00A04C2C" w:rsidRDefault="00B25BB0">
      <w:r>
        <w:t xml:space="preserve">ESG yang kredibel berdiri di atas data yang dapat diaudit, bukan narasi. Inilah pembeda antara pelaporan sungguhan dan </w:t>
      </w:r>
      <w:r>
        <w:rPr>
          <w:i/>
          <w:iCs/>
        </w:rPr>
        <w:t>greenwashing</w:t>
      </w:r>
      <w:r>
        <w:t>, yaitu klaim hijau tanpa bukti angka. Saat audit formal makin ketat menuju 2027, perusahaan yang selam</w:t>
      </w:r>
      <w:r>
        <w:t>a ini hanya menyusun laporan simbolis akan terekspos. Angka ESG harus setertelusur angka keuangan.</w:t>
      </w:r>
    </w:p>
    <w:p w14:paraId="5E23AB27" w14:textId="77777777" w:rsidR="00A04C2C" w:rsidRDefault="00B25BB0">
      <w:r>
        <w:t xml:space="preserve">Risikonya nyata dan diakui pasar. PwC Global Investor Survey 2025 mencatat sekitar </w:t>
      </w:r>
      <w:r>
        <w:rPr>
          <w:b/>
          <w:bCs/>
        </w:rPr>
        <w:t>79% investor menilai klaim keberlanjutan yang tidak didukung data tersebar pada tingkat “sedang atau lebih besar”</w:t>
      </w:r>
      <w:r>
        <w:t xml:space="preserve"> dalam laporan perusahaan. Di Indonesia, literatur hukum dan</w:t>
      </w:r>
      <w:r>
        <w:t xml:space="preserve"> akademik menyoroti bahwa pengungkapan keberlanjutan kerap bersifat simbolis dan selektif, sebagian karena belum ada undang-undang khusus yang mengatur greenwashing per 2025. Begitu PSPK 2 berlaku, celah ini menyempit.</w:t>
      </w:r>
    </w:p>
    <w:p w14:paraId="1969E6E4" w14:textId="77777777" w:rsidR="00A04C2C" w:rsidRDefault="00B25BB0">
      <w:r>
        <w:t>Maka pertanyaan praktisnya bukan lagi</w:t>
      </w:r>
      <w:r>
        <w:t xml:space="preserve"> “apa nilai ESG kami”, melainkan “bisakah setiap angka di laporan kami ditelusuri sampai ke transaksinya”. Itu sebabnya data ESG yang </w:t>
      </w:r>
      <w:r>
        <w:lastRenderedPageBreak/>
        <w:t>andal bersumber dari sistem seperti ERP, sensor IoT, dan sistem HR, bukan rekap tangan. Mengonsolidasikan sumber yang ters</w:t>
      </w:r>
      <w:r>
        <w:t xml:space="preserve">ebar menjadi </w:t>
      </w:r>
      <w:hyperlink r:id="rId7">
        <w:r>
          <w:rPr>
            <w:rStyle w:val="Hyperlink"/>
          </w:rPr>
          <w:t>data warehouse</w:t>
        </w:r>
      </w:hyperlink>
      <w:r>
        <w:t xml:space="preserve"> atau lapisan data tunggal adalah fondasi agar laporan keberlanjutan benar-benar </w:t>
      </w:r>
      <w:r>
        <w:rPr>
          <w:i/>
          <w:iCs/>
        </w:rPr>
        <w:t>audit-ready</w:t>
      </w:r>
      <w:r>
        <w:t>.</w:t>
      </w:r>
    </w:p>
    <w:p w14:paraId="0ECB65A3" w14:textId="77777777" w:rsidR="00A04C2C" w:rsidRDefault="00B25BB0">
      <w:r>
        <w:t xml:space="preserve">Di lapisan operasional, solusi seperti </w:t>
      </w:r>
      <w:r>
        <w:rPr>
          <w:b/>
          <w:bCs/>
        </w:rPr>
        <w:t>SAP Sustainability</w:t>
      </w:r>
      <w:r>
        <w:rPr>
          <w:b/>
          <w:bCs/>
        </w:rPr>
        <w:t xml:space="preserve"> Control Tower</w:t>
      </w:r>
      <w:r>
        <w:t xml:space="preserve"> memusatkan data ESG dari sistem SAP maupun pihak ketiga. Per 2026, solusi ini mendukung 200+ metrik kuantitatif dan standar pelaporan internasional termasuk ESRS dan IFRS S2 (relevan terutama bagi perusahaan yang berekspor ke Eropa atau meng</w:t>
      </w:r>
      <w:r>
        <w:t xml:space="preserve">adopsi standar global, bukan kewajiban regulasi lokal saat ini). Sementara itu, </w:t>
      </w:r>
      <w:r>
        <w:rPr>
          <w:b/>
          <w:bCs/>
        </w:rPr>
        <w:t>SAP Green Ledger</w:t>
      </w:r>
      <w:r>
        <w:t xml:space="preserve">, yang mencapai </w:t>
      </w:r>
      <w:r>
        <w:rPr>
          <w:i/>
          <w:iCs/>
        </w:rPr>
        <w:t>general availability</w:t>
      </w:r>
      <w:r>
        <w:t xml:space="preserve"> pada 16 Desember 2024 (SAP News Center), menerapkan prinsip akuntansi </w:t>
      </w:r>
      <w:r>
        <w:rPr>
          <w:i/>
          <w:iCs/>
        </w:rPr>
        <w:t>double-entry</w:t>
      </w:r>
      <w:r>
        <w:t xml:space="preserve"> pada emisi karbon. Solusi ini mengalokas</w:t>
      </w:r>
      <w:r>
        <w:t>ikan emisi Scope 1, 2, dan 3 hingga ke level transaksi, dengan kontrol audit setara data finansial. Pendekatan menyatukan data finansial dan keberlanjutan inilah yang membuat SAP dinilai sebagai Leader dalam IDC MarketScape untuk aplikasi carbon accounting</w:t>
      </w:r>
      <w:r>
        <w:t xml:space="preserve"> (Mei 2026). Mengoperasikan kapabilitas semacam ini menuntut integrasi sistem yang matang, bagian yang biasanya dikerjakan bersama mitra implementasi.</w:t>
      </w:r>
    </w:p>
    <w:p w14:paraId="2C06E985" w14:textId="77777777" w:rsidR="00A04C2C" w:rsidRDefault="00B25BB0">
      <w:r>
        <w:rPr>
          <w:i/>
          <w:iCs/>
        </w:rPr>
        <w:t>[Image 03: Diagram alur “dari data ke laporan ESG” — tiga kolom: SUMBER (ikon ERP/S/4HANA, sistem HR, sen</w:t>
      </w:r>
      <w:r>
        <w:rPr>
          <w:i/>
          <w:iCs/>
        </w:rPr>
        <w:t>sor IoT/meteran utilitas) → KONSOLIDASI (data warehouse / sustainability control tower) → OUTPUT (Laporan Keberlanjutan audit-ready, anggaran karbon, dashboard ESG). Panah alur jelas, gaya korporat, palet biru-hijau, teks Bahasa Indonesia. Hindari logo ven</w:t>
      </w:r>
      <w:r>
        <w:rPr>
          <w:i/>
          <w:iCs/>
        </w:rPr>
        <w:t>dor yang menonjol; fokus pada alur data.]</w:t>
      </w:r>
    </w:p>
    <w:p w14:paraId="20395BD9" w14:textId="77777777" w:rsidR="00A04C2C" w:rsidRDefault="00B25BB0">
      <w:pPr>
        <w:pStyle w:val="Heading2"/>
      </w:pPr>
      <w:bookmarkStart w:id="8" w:name="faq-pertanyaan-yang-sering-diajukan"/>
      <w:bookmarkEnd w:id="7"/>
      <w:r>
        <w:t>FAQ (Pertanyaan yang Sering Diajukan)</w:t>
      </w:r>
    </w:p>
    <w:p w14:paraId="53856714" w14:textId="77777777" w:rsidR="00A04C2C" w:rsidRDefault="00B25BB0">
      <w:pPr>
        <w:pStyle w:val="Heading3"/>
      </w:pPr>
      <w:bookmarkStart w:id="9" w:name="apa-itu-esg-dan-apa-singkatannya"/>
      <w:r>
        <w:t>Apa itu ESG dan apa singkatannya?</w:t>
      </w:r>
    </w:p>
    <w:p w14:paraId="3FD03C8A" w14:textId="77777777" w:rsidR="00A04C2C" w:rsidRDefault="00B25BB0">
      <w:r>
        <w:t xml:space="preserve">ESG adalah singkatan dari </w:t>
      </w:r>
      <w:r>
        <w:rPr>
          <w:i/>
          <w:iCs/>
        </w:rPr>
        <w:t>Environmental</w:t>
      </w:r>
      <w:r>
        <w:t xml:space="preserve"> (Lingkungan), </w:t>
      </w:r>
      <w:r>
        <w:rPr>
          <w:i/>
          <w:iCs/>
        </w:rPr>
        <w:t>Social</w:t>
      </w:r>
      <w:r>
        <w:t xml:space="preserve"> (Sosial), dan </w:t>
      </w:r>
      <w:r>
        <w:rPr>
          <w:i/>
          <w:iCs/>
        </w:rPr>
        <w:t>Governance</w:t>
      </w:r>
      <w:r>
        <w:t xml:space="preserve"> (Tata Kelola), yaitu kerangka untuk menilai bagaimana pe</w:t>
      </w:r>
      <w:r>
        <w:t>rusahaan mengelola dampak lingkungan, tanggung jawab sosial, dan kualitas tata kelolanya. Berbeda dari laporan keuangan, ESG mengukur risiko dan kinerja non-finansial yang kini dinilai aktif oleh investor, regulator, dan mitra bisnis.</w:t>
      </w:r>
    </w:p>
    <w:p w14:paraId="32AF3E8B" w14:textId="77777777" w:rsidR="00A04C2C" w:rsidRDefault="00B25BB0">
      <w:pPr>
        <w:pStyle w:val="Heading3"/>
      </w:pPr>
      <w:bookmarkStart w:id="10" w:name="apa-saja-tiga-pilar-esg"/>
      <w:bookmarkEnd w:id="9"/>
      <w:r>
        <w:t>Apa saja tiga pilar E</w:t>
      </w:r>
      <w:r>
        <w:t>SG?</w:t>
      </w:r>
    </w:p>
    <w:p w14:paraId="07FF2E1F" w14:textId="77777777" w:rsidR="00A04C2C" w:rsidRDefault="00B25BB0">
      <w:r>
        <w:t xml:space="preserve">ESG terdiri dari tiga pilar. </w:t>
      </w:r>
      <w:r>
        <w:rPr>
          <w:b/>
          <w:bCs/>
        </w:rPr>
        <w:t>Lingkungan (E)</w:t>
      </w:r>
      <w:r>
        <w:t xml:space="preserve"> mencakup emisi karbon, energi, air, dan limbah. </w:t>
      </w:r>
      <w:r>
        <w:rPr>
          <w:b/>
          <w:bCs/>
        </w:rPr>
        <w:t>Sosial (S)</w:t>
      </w:r>
      <w:r>
        <w:t xml:space="preserve"> mencakup kesejahteraan karyawan, keberagaman, dan rantai pasokan. </w:t>
      </w:r>
      <w:r>
        <w:rPr>
          <w:b/>
          <w:bCs/>
        </w:rPr>
        <w:t>Tata Kelola (G)</w:t>
      </w:r>
      <w:r>
        <w:t xml:space="preserve"> mencakup transparansi, etika bisnis, komposisi dewan, dan hak pemeg</w:t>
      </w:r>
      <w:r>
        <w:t>ang saham. Ketiganya harus diukur dengan metrik yang dapat diverifikasi, bukan sekadar pernyataan niat.</w:t>
      </w:r>
    </w:p>
    <w:p w14:paraId="639903A5" w14:textId="77777777" w:rsidR="00A04C2C" w:rsidRDefault="00B25BB0">
      <w:pPr>
        <w:pStyle w:val="Heading3"/>
      </w:pPr>
      <w:bookmarkStart w:id="11" w:name="X2e24f91c28214f4a8e11f2bf9bb719c0ba00b96"/>
      <w:bookmarkEnd w:id="10"/>
      <w:r>
        <w:t>Apakah laporan keberlanjutan wajib di Indonesia?</w:t>
      </w:r>
    </w:p>
    <w:p w14:paraId="002DCD7A" w14:textId="77777777" w:rsidR="00A04C2C" w:rsidRDefault="00B25BB0">
      <w:r>
        <w:t xml:space="preserve">Ya. Berdasarkan POJK No. 51/POJK.03/2017 yang ditetapkan 27 Juli 2017 dan efektif bertahap sejak 2019, </w:t>
      </w:r>
      <w:r>
        <w:t>emiten, perusahaan publik, dan lembaga jasa keuangan wajib menyusun Laporan Keberlanjutan dan Rencana Aksi Keuangan Berkelanjutan (RAKB). Per akhir 2024, lebih dari 880 emiten di Bursa Efek Indonesia telah menerbitkannya, naik lebih dari 74% dari sekitar 5</w:t>
      </w:r>
      <w:r>
        <w:t>05 emiten pada 2022.</w:t>
      </w:r>
    </w:p>
    <w:p w14:paraId="78307072" w14:textId="77777777" w:rsidR="00A04C2C" w:rsidRDefault="00B25BB0">
      <w:pPr>
        <w:pStyle w:val="Heading3"/>
      </w:pPr>
      <w:bookmarkStart w:id="12" w:name="apa-perbedaan-esg-dan-csr"/>
      <w:bookmarkEnd w:id="11"/>
      <w:r>
        <w:lastRenderedPageBreak/>
        <w:t>Apa perbedaan ESG dan CSR?</w:t>
      </w:r>
    </w:p>
    <w:p w14:paraId="7556CF48" w14:textId="77777777" w:rsidR="00A04C2C" w:rsidRDefault="00B25BB0">
      <w:r>
        <w:t>CSR (</w:t>
      </w:r>
      <w:r>
        <w:rPr>
          <w:i/>
          <w:iCs/>
        </w:rPr>
        <w:t>Corporate Social Responsibility</w:t>
      </w:r>
      <w:r>
        <w:t>) adalah inisiatif tanggung jawab sosial yang umumnya sukarela, seperti donasi, program filantropi, dan kegiatan komunitas. ESG adalah kerangka terstruktur dan terukur yang</w:t>
      </w:r>
      <w:r>
        <w:t xml:space="preserve"> menghasilkan metrik untuk dilaporkan, diverifikasi, dan dinilai pihak eksternal seperti investor dan auditor. CSR dapat menjadi bagian dari pilar Sosial dalam ESG, tetapi ESG mencakup jauh lebih luas, termasuk emisi karbon dan tata kelola.</w:t>
      </w:r>
    </w:p>
    <w:p w14:paraId="1E5AEDC7" w14:textId="77777777" w:rsidR="00A04C2C" w:rsidRDefault="00B25BB0">
      <w:pPr>
        <w:pStyle w:val="Heading3"/>
      </w:pPr>
      <w:bookmarkStart w:id="13" w:name="apa-itu-bursa-karbon-indonesia-idxcarbon"/>
      <w:bookmarkEnd w:id="12"/>
      <w:r>
        <w:t>Apa itu bursa k</w:t>
      </w:r>
      <w:r>
        <w:t>arbon Indonesia (IDXCarbon)?</w:t>
      </w:r>
    </w:p>
    <w:p w14:paraId="21609F12" w14:textId="77777777" w:rsidR="00A04C2C" w:rsidRDefault="00B25BB0">
      <w:r>
        <w:t>IDXCarbon adalah bursa karbon Indonesia yang diluncurkan pada 26 September 2023. Perusahaan dengan emisi berlebih dapat membeli unit karbon dari proyek pengurangan emisi untuk memenuhi target iklimnya. Per Agustus 2025, nilai t</w:t>
      </w:r>
      <w:r>
        <w:t>ransaksinya mencapai Rp 78,37 miliar dengan volume 1,6 juta ton CO₂e. Keberadaannya terkait langsung dengan pilar Lingkungan; perusahaan dengan data emisi terukur lebih siap berpartisipasi.</w:t>
      </w:r>
    </w:p>
    <w:p w14:paraId="12C33CB9" w14:textId="77777777" w:rsidR="00A04C2C" w:rsidRDefault="00B25BB0">
      <w:pPr>
        <w:pStyle w:val="Heading3"/>
      </w:pPr>
      <w:bookmarkStart w:id="14" w:name="X99f55637d1b41cf758078e72bb864f3e9a233be"/>
      <w:bookmarkEnd w:id="13"/>
      <w:r>
        <w:t>Bagaimana cara perusahaan mulai menerapkan ESG?</w:t>
      </w:r>
    </w:p>
    <w:p w14:paraId="66FD4E1C" w14:textId="77777777" w:rsidR="00A04C2C" w:rsidRDefault="00B25BB0">
      <w:r>
        <w:t>Penerapan ESG lazi</w:t>
      </w:r>
      <w:r>
        <w:t xml:space="preserve">mnya dimulai dengan lima langkah: (1) </w:t>
      </w:r>
      <w:r>
        <w:rPr>
          <w:i/>
          <w:iCs/>
        </w:rPr>
        <w:t>materiality assessment</w:t>
      </w:r>
      <w:r>
        <w:t xml:space="preserve"> untuk menentukan isu paling relevan; (2) menetapkan metrik dan baseline; (3) mengumpulkan data dari sistem inti seperti ERP dan HR; (4) menyusun laporan sesuai standar (GRI, POJK 51, PSPK/IFRS S2</w:t>
      </w:r>
      <w:r>
        <w:t xml:space="preserve"> mulai 2027); dan (5) audit serta perbaikan berkelanjutan. Tantangan terbesar biasanya ada di langkah ketiga, karena data ESG tersebar di banyak sistem.</w:t>
      </w:r>
    </w:p>
    <w:p w14:paraId="1EAA7E43" w14:textId="77777777" w:rsidR="00A04C2C" w:rsidRDefault="00B25BB0">
      <w:pPr>
        <w:pStyle w:val="Heading3"/>
      </w:pPr>
      <w:bookmarkStart w:id="15" w:name="apa-itu-emisi-scope-1-2-dan-3"/>
      <w:bookmarkEnd w:id="14"/>
      <w:r>
        <w:t>Apa itu emisi Scope 1, 2, dan 3?</w:t>
      </w:r>
    </w:p>
    <w:p w14:paraId="0DBA8E02" w14:textId="77777777" w:rsidR="00A04C2C" w:rsidRDefault="00B25BB0">
      <w:r>
        <w:t xml:space="preserve">Tiga </w:t>
      </w:r>
      <w:r>
        <w:rPr>
          <w:i/>
          <w:iCs/>
        </w:rPr>
        <w:t>scope</w:t>
      </w:r>
      <w:r>
        <w:t xml:space="preserve"> ini mengklasifikasikan asal emisi dalam pelaporan ESG. Scop</w:t>
      </w:r>
      <w:r>
        <w:t xml:space="preserve">e 1 adalah emisi langsung dari operasi sendiri, seperti kendaraan dan boiler perusahaan. Scope 2 adalah emisi tidak langsung dari energi yang dibeli, terutama listrik. Scope 3 adalah emisi sepanjang rantai nilai, dari pemasok hingga penggunaan produk, dan </w:t>
      </w:r>
      <w:r>
        <w:t>umumnya yang paling besar sekaligus paling sulit dihitung.</w:t>
      </w:r>
    </w:p>
    <w:p w14:paraId="48E6A902" w14:textId="77777777" w:rsidR="00A04C2C" w:rsidRDefault="00B25BB0">
      <w:pPr>
        <w:pStyle w:val="Heading2"/>
      </w:pPr>
      <w:bookmarkStart w:id="16" w:name="kesimpulan"/>
      <w:bookmarkEnd w:id="8"/>
      <w:bookmarkEnd w:id="15"/>
      <w:r>
        <w:t>Kesimpulan</w:t>
      </w:r>
    </w:p>
    <w:p w14:paraId="53EE9A1A" w14:textId="77777777" w:rsidR="00A04C2C" w:rsidRDefault="00B25BB0">
      <w:r>
        <w:t>ESG bukan lagi urusan citra atau kepatuhan minimal. Ia adalah kerangka E/S/G yang kini terukur, teregulasi melalui POJK 51 dan aturan turunannya, serta dinilai investor yang mengelola mo</w:t>
      </w:r>
      <w:r>
        <w:t>dal nyata. Pemenangnya, di sebagian besar industri, adalah perusahaan yang memperlakukan data ESG sekredibel data finansialnya: dapat ditelusuri, dapat diaudit, bersumber dari sistem, bukan dari rekap spreadsheet menjelang tenggat. Di sinilah topik ini ber</w:t>
      </w:r>
      <w:r>
        <w:t xml:space="preserve">temu kompetensi teknologi. Sebagai mitra implementasi SAP, Soltius membantu perusahaan mengoperasionalkan data ESG dari sistem inti hingga laporan keberlanjutan yang </w:t>
      </w:r>
      <w:r>
        <w:rPr>
          <w:i/>
          <w:iCs/>
        </w:rPr>
        <w:t>audit-ready</w:t>
      </w:r>
      <w:r>
        <w:t>, memanfaatkan solusi seperti SAP Sustainability Control Tower. Soltius tidak m</w:t>
      </w:r>
      <w:r>
        <w:t>embangun perangkat lunaknya, melainkan menerapkan dan mendukungnya.</w:t>
      </w:r>
    </w:p>
    <w:p w14:paraId="039AB243" w14:textId="77777777" w:rsidR="00A04C2C" w:rsidRDefault="00B25BB0">
      <w:r>
        <w:t>Untuk mendiskusikan kesiapan data ESG di perusahaan Anda dan solusi SAP Sustainability yang menopangnya, kunjungi soltius.co.id.</w:t>
      </w:r>
      <w:bookmarkEnd w:id="1"/>
      <w:bookmarkEnd w:id="16"/>
    </w:p>
    <w:sectPr w:rsidR="00A04C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embedRegular r:id="rId1" w:fontKey="{5A02E637-9CDD-4EB2-B901-BB90F16CBB8A}"/>
  </w:font>
  <w:font w:name="Times New Roman">
    <w:panose1 w:val="02020603050405020304"/>
    <w:charset w:val="00"/>
    <w:family w:val="roman"/>
    <w:pitch w:val="variable"/>
    <w:sig w:usb0="E0002EFF" w:usb1="C000785B" w:usb2="00000009" w:usb3="00000000" w:csb0="000001FF" w:csb1="00000000"/>
    <w:embedRegular r:id="rId2" w:fontKey="{41715C15-B95D-4F1F-8C06-D06623D17345}"/>
    <w:embedBold r:id="rId3" w:fontKey="{7EC488D4-6C1C-47CE-8D76-D597C297EE45}"/>
    <w:embedItalic r:id="rId4" w:fontKey="{7B3CB9F1-3C49-4842-9F73-3E34517A31B8}"/>
    <w:embedBoldItalic r:id="rId5" w:fontKey="{B60C65CB-6262-45FC-A50C-243CEF34E6E1}"/>
  </w:font>
  <w:font w:name="Courier New">
    <w:panose1 w:val="02070309020205020404"/>
    <w:charset w:val="00"/>
    <w:family w:val="modern"/>
    <w:pitch w:val="fixed"/>
    <w:sig w:usb0="E0002EFF" w:usb1="C0007843" w:usb2="00000009" w:usb3="00000000" w:csb0="000001FF" w:csb1="00000000"/>
    <w:embedRegular r:id="rId6" w:fontKey="{C77614F8-DF06-45DC-AEC1-89C0C1271098}"/>
  </w:font>
  <w:font w:name="Wingdings">
    <w:panose1 w:val="05000000000000000000"/>
    <w:charset w:val="02"/>
    <w:family w:val="auto"/>
    <w:pitch w:val="variable"/>
    <w:sig w:usb0="00000000" w:usb1="10000000" w:usb2="00000000" w:usb3="00000000" w:csb0="80000000" w:csb1="00000000"/>
    <w:embedRegular r:id="rId7" w:fontKey="{84BA3FAD-6245-43AF-B5A0-060AAC3B392F}"/>
  </w:font>
  <w:font w:name="Arial">
    <w:panose1 w:val="020B0604020202020204"/>
    <w:charset w:val="00"/>
    <w:family w:val="swiss"/>
    <w:pitch w:val="variable"/>
    <w:sig w:usb0="E0002EFF" w:usb1="C000785B" w:usb2="00000009" w:usb3="00000000" w:csb0="000001FF" w:csb1="00000000"/>
    <w:embedRegular r:id="rId8" w:fontKey="{64848004-0913-4DB8-9DDF-42FF02D1C9B5}"/>
    <w:embedBold r:id="rId9" w:fontKey="{7358BC9F-8DBE-4A70-9F90-B46053EEADCD}"/>
    <w:embedItalic r:id="rId10" w:fontKey="{ACB4341C-4800-4F1E-A086-74421CB4E7FE}"/>
  </w:font>
  <w:font w:name="Calibri">
    <w:panose1 w:val="020F0502020204030204"/>
    <w:charset w:val="00"/>
    <w:family w:val="swiss"/>
    <w:pitch w:val="variable"/>
    <w:sig w:usb0="E4002EFF" w:usb1="C000247B" w:usb2="00000009" w:usb3="00000000" w:csb0="000001FF" w:csb1="00000000"/>
    <w:embedRegular r:id="rId11" w:fontKey="{3F73FC2C-5DEB-411A-B320-AE968D796ED8}"/>
  </w:font>
  <w:font w:name="Cambria">
    <w:panose1 w:val="02040503050406030204"/>
    <w:charset w:val="00"/>
    <w:family w:val="roman"/>
    <w:pitch w:val="variable"/>
    <w:sig w:usb0="E00006FF" w:usb1="420024FF" w:usb2="02000000" w:usb3="00000000" w:csb0="0000019F" w:csb1="00000000"/>
    <w:embedRegular r:id="rId12" w:fontKey="{C5FDBEF6-FCA1-4095-BA2B-4F10DBC6F8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8884B5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3686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4E29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EE784D"/>
    <w:multiLevelType w:val="multilevel"/>
    <w:tmpl w:val="E4DC8A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FB1440"/>
    <w:multiLevelType w:val="multilevel"/>
    <w:tmpl w:val="0D1668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BE40F8"/>
    <w:multiLevelType w:val="multilevel"/>
    <w:tmpl w:val="6FA809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BB01BC"/>
    <w:multiLevelType w:val="multilevel"/>
    <w:tmpl w:val="747E64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A73029"/>
    <w:multiLevelType w:val="multilevel"/>
    <w:tmpl w:val="A18030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7"/>
  </w:num>
  <w:num w:numId="3">
    <w:abstractNumId w:val="6"/>
  </w:num>
  <w:num w:numId="4">
    <w:abstractNumId w:val="3"/>
  </w:num>
  <w:num w:numId="5">
    <w:abstractNumId w:val="4"/>
  </w:num>
  <w:num w:numId="6">
    <w:abstractNumId w:val="0"/>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C2C"/>
    <w:rsid w:val="0070008C"/>
    <w:rsid w:val="00A04C2C"/>
    <w:rsid w:val="00B25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5A18"/>
  <w15:docId w15:val="{C8790F77-C5E3-4C97-BC85-0D0C8444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ltius.co.id/id/blog/data-warehouse-solu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ltius.co.id/id/blog/business-intelligence" TargetMode="External"/><Relationship Id="rId5" Type="http://schemas.openxmlformats.org/officeDocument/2006/relationships/hyperlink" Target="https://www.soltius.co.id/id/blog/migrasi-erp-ke-cloud"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8</Pages>
  <Words>3140</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Fajar Santoso</cp:lastModifiedBy>
  <cp:revision>2</cp:revision>
  <dcterms:created xsi:type="dcterms:W3CDTF">2026-06-17T22:42:00Z</dcterms:created>
  <dcterms:modified xsi:type="dcterms:W3CDTF">2026-06-22T15:28:00Z</dcterms:modified>
</cp:coreProperties>
</file>