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"Data Governance dan UU PDP: Mengapa Infrastruktur Data Warehouse Anda Menentukan Kepatuhan"</w:t>
      </w:r>
      <w:r>
        <w:br/>
      </w:r>
      <w:r>
        <w:rPr>
          <w:rStyle w:val="FunctionTok"/>
        </w:rPr>
        <w:t xml:space="preserve">meta_title</w:t>
      </w:r>
      <w:r>
        <w:rPr>
          <w:rStyle w:val="KeywordTok"/>
        </w:rPr>
        <w:t xml:space="preserve">:</w:t>
      </w:r>
      <w:r>
        <w:rPr>
          <w:rStyle w:val="AttributeTok"/>
        </w:rPr>
        <w:t xml:space="preserve"> </w:t>
      </w:r>
      <w:r>
        <w:rPr>
          <w:rStyle w:val="StringTok"/>
        </w:rPr>
        <w:t xml:space="preserve">"Data Warehouse Solutions untuk Kepatuhan UU PDP Indonesia"</w:t>
      </w:r>
      <w:r>
        <w:br/>
      </w:r>
      <w:r>
        <w:rPr>
          <w:rStyle w:val="FunctionTok"/>
        </w:rPr>
        <w:t xml:space="preserve">meta_description</w:t>
      </w:r>
      <w:r>
        <w:rPr>
          <w:rStyle w:val="KeywordTok"/>
        </w:rPr>
        <w:t xml:space="preserve">:</w:t>
      </w:r>
      <w:r>
        <w:rPr>
          <w:rStyle w:val="AttributeTok"/>
        </w:rPr>
        <w:t xml:space="preserve"> </w:t>
      </w:r>
      <w:r>
        <w:rPr>
          <w:rStyle w:val="StringTok"/>
        </w:rPr>
        <w:t xml:space="preserve">"UU PDP berlaku efektif Oktober 2024. Pelajari 5 kewajiban teknis yang harus dijawab sistem data Anda — dari data lineage, RBAC, hingga audit trail."</w:t>
      </w:r>
      <w:r>
        <w:br/>
      </w:r>
      <w:r>
        <w:rPr>
          <w:rStyle w:val="FunctionTok"/>
        </w:rPr>
        <w:t xml:space="preserve">slug</w:t>
      </w:r>
      <w:r>
        <w:rPr>
          <w:rStyle w:val="KeywordTok"/>
        </w:rPr>
        <w:t xml:space="preserve">:</w:t>
      </w:r>
      <w:r>
        <w:rPr>
          <w:rStyle w:val="AttributeTok"/>
        </w:rPr>
        <w:t xml:space="preserve"> </w:t>
      </w:r>
      <w:r>
        <w:rPr>
          <w:rStyle w:val="StringTok"/>
        </w:rPr>
        <w:t xml:space="preserve">"data-warehouse-solutions-governance-uu-pdp-indonesia"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"data governance perusahaan"</w:t>
      </w:r>
      <w:r>
        <w:br/>
      </w:r>
      <w:r>
        <w:rPr>
          <w:rStyle w:val="AttributeTok"/>
        </w:rPr>
        <w:t xml:space="preserve">  </w:t>
      </w:r>
      <w:r>
        <w:rPr>
          <w:rStyle w:val="KeywordTok"/>
        </w:rPr>
        <w:t xml:space="preserve">-</w:t>
      </w:r>
      <w:r>
        <w:rPr>
          <w:rStyle w:val="AttributeTok"/>
        </w:rPr>
        <w:t xml:space="preserve"> </w:t>
      </w:r>
      <w:r>
        <w:rPr>
          <w:rStyle w:val="StringTok"/>
        </w:rPr>
        <w:t xml:space="preserve">"UU PDP Indonesia data"</w:t>
      </w:r>
      <w:r>
        <w:br/>
      </w:r>
      <w:r>
        <w:rPr>
          <w:rStyle w:val="AttributeTok"/>
        </w:rPr>
        <w:t xml:space="preserve">  </w:t>
      </w:r>
      <w:r>
        <w:rPr>
          <w:rStyle w:val="KeywordTok"/>
        </w:rPr>
        <w:t xml:space="preserve">-</w:t>
      </w:r>
      <w:r>
        <w:rPr>
          <w:rStyle w:val="AttributeTok"/>
        </w:rPr>
        <w:t xml:space="preserve"> </w:t>
      </w:r>
      <w:r>
        <w:rPr>
          <w:rStyle w:val="StringTok"/>
        </w:rPr>
        <w:t xml:space="preserve">"kepatuhan data enterprise"</w:t>
      </w:r>
      <w:r>
        <w:br/>
      </w:r>
      <w:r>
        <w:rPr>
          <w:rStyle w:val="AttributeTok"/>
        </w:rPr>
        <w:t xml:space="preserve">  </w:t>
      </w:r>
      <w:r>
        <w:rPr>
          <w:rStyle w:val="KeywordTok"/>
        </w:rPr>
        <w:t xml:space="preserve">-</w:t>
      </w:r>
      <w:r>
        <w:rPr>
          <w:rStyle w:val="AttributeTok"/>
        </w:rPr>
        <w:t xml:space="preserve"> </w:t>
      </w:r>
      <w:r>
        <w:rPr>
          <w:rStyle w:val="StringTok"/>
        </w:rPr>
        <w:t xml:space="preserve">"perlindungan data pribadi bisnis"</w:t>
      </w:r>
      <w:r>
        <w:br/>
      </w:r>
      <w:r>
        <w:rPr>
          <w:rStyle w:val="AttributeTok"/>
        </w:rPr>
        <w:t xml:space="preserve">  </w:t>
      </w:r>
      <w:r>
        <w:rPr>
          <w:rStyle w:val="KeywordTok"/>
        </w:rPr>
        <w:t xml:space="preserve">-</w:t>
      </w:r>
      <w:r>
        <w:rPr>
          <w:rStyle w:val="AttributeTok"/>
        </w:rPr>
        <w:t xml:space="preserve"> </w:t>
      </w:r>
      <w:r>
        <w:rPr>
          <w:rStyle w:val="StringTok"/>
        </w:rPr>
        <w:t xml:space="preserve">"data lineage audit trail"</w:t>
      </w:r>
      <w:r>
        <w:br/>
      </w:r>
      <w:r>
        <w:rPr>
          <w:rStyle w:val="AttributeTok"/>
        </w:rPr>
        <w:t xml:space="preserve">  </w:t>
      </w:r>
      <w:r>
        <w:rPr>
          <w:rStyle w:val="KeywordTok"/>
        </w:rPr>
        <w:t xml:space="preserve">-</w:t>
      </w:r>
      <w:r>
        <w:rPr>
          <w:rStyle w:val="AttributeTok"/>
        </w:rPr>
        <w:t xml:space="preserve"> </w:t>
      </w:r>
      <w:r>
        <w:rPr>
          <w:rStyle w:val="StringTok"/>
        </w:rPr>
        <w:t xml:space="preserve">"master data management"</w:t>
      </w:r>
      <w:r>
        <w:br/>
      </w:r>
      <w:r>
        <w:rPr>
          <w:rStyle w:val="AttributeTok"/>
        </w:rPr>
        <w:t xml:space="preserve">  </w:t>
      </w:r>
      <w:r>
        <w:rPr>
          <w:rStyle w:val="KeywordTok"/>
        </w:rPr>
        <w:t xml:space="preserve">-</w:t>
      </w:r>
      <w:r>
        <w:rPr>
          <w:rStyle w:val="AttributeTok"/>
        </w:rPr>
        <w:t xml:space="preserve"> </w:t>
      </w:r>
      <w:r>
        <w:rPr>
          <w:rStyle w:val="StringTok"/>
        </w:rPr>
        <w:t xml:space="preserve">"regulasi data Indonesia 2026"</w:t>
      </w:r>
      <w:r>
        <w:br/>
      </w:r>
      <w:r>
        <w:rPr>
          <w:rStyle w:val="AttributeTok"/>
        </w:rPr>
        <w:t xml:space="preserve">  </w:t>
      </w:r>
      <w:r>
        <w:rPr>
          <w:rStyle w:val="KeywordTok"/>
        </w:rPr>
        <w:t xml:space="preserve">-</w:t>
      </w:r>
      <w:r>
        <w:rPr>
          <w:rStyle w:val="AttributeTok"/>
        </w:rPr>
        <w:t xml:space="preserve"> </w:t>
      </w:r>
      <w:r>
        <w:rPr>
          <w:rStyle w:val="StringTok"/>
        </w:rPr>
        <w:t xml:space="preserve">"BPDP badan perlindungan data"</w:t>
      </w:r>
      <w:r>
        <w:br/>
      </w:r>
      <w:r>
        <w:rPr>
          <w:rStyle w:val="AttributeTok"/>
        </w:rPr>
        <w:t xml:space="preserve">  </w:t>
      </w:r>
      <w:r>
        <w:rPr>
          <w:rStyle w:val="KeywordTok"/>
        </w:rPr>
        <w:t xml:space="preserve">-</w:t>
      </w:r>
      <w:r>
        <w:rPr>
          <w:rStyle w:val="AttributeTok"/>
        </w:rPr>
        <w:t xml:space="preserve"> </w:t>
      </w:r>
      <w:r>
        <w:rPr>
          <w:rStyle w:val="StringTok"/>
        </w:rPr>
        <w:t xml:space="preserve">"data retention policy"</w:t>
      </w:r>
      <w:r>
        <w:br/>
      </w:r>
      <w:r>
        <w:rPr>
          <w:rStyle w:val="AttributeTok"/>
        </w:rPr>
        <w:t xml:space="preserve">  </w:t>
      </w:r>
      <w:r>
        <w:rPr>
          <w:rStyle w:val="KeywordTok"/>
        </w:rPr>
        <w:t xml:space="preserve">-</w:t>
      </w:r>
      <w:r>
        <w:rPr>
          <w:rStyle w:val="AttributeTok"/>
        </w:rPr>
        <w:t xml:space="preserve"> </w:t>
      </w:r>
      <w:r>
        <w:rPr>
          <w:rStyle w:val="StringTok"/>
        </w:rPr>
        <w:t xml:space="preserve">"SAP Datasphere governance"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"https://peraturan.bpk.go.id/Details/229798/uu-no-27-tahun-2022"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"Teks resmi UU No. 27 Tahun 2022 tentang Perlindungan Data Pribadi — kewajiban pengendali data, sanksi pidana dan administratif"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"https://www.sap.com/assetdetail/2026/03/f25cee56-417f-0010-bca6-c68f7e60039b.html"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Datasphere data catalog — data lineage end-to-end termasuk column-level lineage untuk governance dan audit (Maret 2026)"</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"data-warehouse-solutions-05"</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1495</w:t>
      </w:r>
    </w:p>
    <w:p>
      <w:r>
        <w:pict>
          <v:rect style="width:0;height:1.5pt" o:hralign="center" o:hrstd="t" o:hr="t"/>
        </w:pict>
      </w:r>
    </w:p>
    <w:bookmarkEnd w:id="16"/>
    <w:bookmarkStart w:id="35" w:name="X80ca30ed43ff61dd0012ab316c77cb31f0e49ea"/>
    <w:p>
      <w:pPr>
        <w:pStyle w:val="Heading1"/>
      </w:pPr>
      <w:r>
        <w:t xml:space="preserve">Data Governance dan UU PDP: Mengapa Infrastruktur Data Warehouse Anda Menentukan Kepatuhan</w:t>
      </w:r>
    </w:p>
    <w:p>
      <w:pPr>
        <w:pStyle w:val="FirstParagraph"/>
      </w:pPr>
      <w:r>
        <w:t xml:space="preserve">Bayangkan skenario ini: Badan Pelindungan Data Pribadi meminta laporan tentang semua data pelanggan yang Anda proses dalam 12 bulan terakhir — dari mana datanya, siapa mengaksesnya, kapan, dan untuk tujuan apa. Tim Anda punya berapa hari untuk menjawabnya? Bagi banyak enterprise Indonesia, pertanyaan itu belum ada jawabannya, bukan karena niat buruk, melainkan karena sistem data mereka tidak pernah dirancang untuk mempertanggungjawabkan dirinya sendiri.</w:t>
      </w:r>
    </w:p>
    <w:p>
      <w:pPr>
        <w:pStyle w:val="BodyText"/>
      </w:pPr>
      <w:r>
        <w:rPr>
          <w:i/>
          <w:iCs/>
        </w:rPr>
        <w:t xml:space="preserve">Data Warehouse Solutions</w:t>
      </w:r>
      <w:r>
        <w:t xml:space="preserve"> </w:t>
      </w:r>
      <w:r>
        <w:t xml:space="preserve">bukan hanya urusan kecepatan analitik. Sejak UU No. 27 Tahun 2022 tentang Perlindungan Data Pribadi (</w:t>
      </w:r>
      <w:r>
        <w:rPr>
          <w:i/>
          <w:iCs/>
        </w:rPr>
        <w:t xml:space="preserve">UU PDP</w:t>
      </w:r>
      <w:r>
        <w:t xml:space="preserve">) berlaku efektif Oktober 2024, arsitektur data enterprise Anda juga menentukan apakah perusahaan bisa membuktikan kepatuhan regulasi secara teknis.</w:t>
      </w:r>
    </w:p>
    <w:p>
      <w:pPr>
        <w:pStyle w:val="BlockText"/>
      </w:pPr>
      <w:r>
        <w:rPr>
          <w:b/>
          <w:bCs/>
        </w:rPr>
        <w:t xml:space="preserve">Secara singkat:</w:t>
      </w:r>
      <w:r>
        <w:t xml:space="preserve"> </w:t>
      </w:r>
      <w:r>
        <w:rPr>
          <w:i/>
          <w:iCs/>
        </w:rPr>
        <w:t xml:space="preserve">Data governance</w:t>
      </w:r>
      <w:r>
        <w:t xml:space="preserve"> </w:t>
      </w:r>
      <w:r>
        <w:t xml:space="preserve">adalah serangkaian kebijakan, proses, dan standar yang mengatur pengelolaan data dalam organisasi: siapa yang mengakses data apa, bagaimana data dikumpulkan, berapa lama disimpan, dan bagaimana dihapus. Dalam konteks UU No. 27 Tahun 2022, data governance bukan pilihan — ia kewajiban hukum sekaligus keunggulan kompetitif.</w:t>
      </w:r>
    </w:p>
    <w:p>
      <w:pPr>
        <w:pStyle w:val="FirstParagraph"/>
      </w:pPr>
      <w:r>
        <w:t xml:space="preserve">Artikel ini membahas apa yang diminta UU PDP secara teknis dari sistem data Anda, bagaimana</w:t>
      </w:r>
      <w:r>
        <w:t xml:space="preserve"> </w:t>
      </w:r>
      <w:r>
        <w:rPr>
          <w:i/>
          <w:iCs/>
        </w:rPr>
        <w:t xml:space="preserve">data warehouse</w:t>
      </w:r>
      <w:r>
        <w:t xml:space="preserve"> </w:t>
      </w:r>
      <w:r>
        <w:t xml:space="preserve">menjawab kewajiban itu, dan framework praktis untuk governance yang tidak hanya menghindari sanksi, tapi juga mempercepat pengambilan keputusan.</w:t>
      </w:r>
    </w:p>
    <w:p>
      <w:pPr>
        <w:pStyle w:val="BodyText"/>
      </w:pPr>
      <w:r>
        <w:rPr>
          <w:i/>
          <w:iCs/>
        </w:rPr>
        <w:t xml:space="preserve">[Image 01: Infografik dua kolom berjudul</w:t>
      </w:r>
      <w:r>
        <w:rPr>
          <w:i/>
          <w:iCs/>
        </w:rPr>
        <w:t xml:space="preserve"> </w:t>
      </w:r>
      <w:r>
        <w:rPr>
          <w:i/>
          <w:iCs/>
        </w:rPr>
        <w:t xml:space="preserve">“5 Kewajiban Teknis UU PDP → Kapabilitas Data Warehouse”</w:t>
      </w:r>
      <w:r>
        <w:rPr>
          <w:i/>
          <w:iCs/>
        </w:rPr>
        <w:t xml:space="preserve"> </w:t>
      </w:r>
      <w:r>
        <w:rPr>
          <w:i/>
          <w:iCs/>
        </w:rPr>
        <w:t xml:space="preserve">— kiri: lima kewajiban regulasi (inventarisasi, akses, hapus, audit trail, retensi) dengan ikon skala hukum biru; kanan: kapabilitas teknis yang menjawabnya (data catalog, RBAC, lineage, audit logging, retention policy) dengan ikon server hijau; teks Bahasa Indonesia, latar putih korporat]</w:t>
      </w:r>
    </w:p>
    <w:bookmarkStart w:id="18" w:name="X0f05d33bc28154733afed196b4f88be51270b52"/>
    <w:p>
      <w:pPr>
        <w:pStyle w:val="Heading2"/>
      </w:pPr>
      <w:r>
        <w:t xml:space="preserve">Apa Itu Data Governance dan Mengapa Perusahaan Indonesia Harus Peduli Sekarang?</w:t>
      </w:r>
    </w:p>
    <w:p>
      <w:pPr>
        <w:pStyle w:val="FirstParagraph"/>
      </w:pPr>
      <w:r>
        <w:rPr>
          <w:i/>
          <w:iCs/>
        </w:rPr>
        <w:t xml:space="preserve">Data governance</w:t>
      </w:r>
      <w:r>
        <w:t xml:space="preserve"> </w:t>
      </w:r>
      <w:r>
        <w:t xml:space="preserve">sering disalahpahami sebagai urusan IT semata. Dalam praktiknya, ini adalah masalah bisnis dan hukum yang melibatkan dewan direksi, compliance officer, dan CIO secara bersamaan.</w:t>
      </w:r>
    </w:p>
    <w:p>
      <w:pPr>
        <w:pStyle w:val="BodyText"/>
      </w:pPr>
      <w:r>
        <w:t xml:space="preserve">Governance mengatur seluruh siklus hidup data: dari pencatatan dan klasifikasi hingga retensi dan penghapusan, semua sesuai kebijakan yang bisa diaudit. Berbeda dari keamanan siber yang fokus pada ancaman eksternal, governance menjawab pertanyaan internal: atas data ini, siapa yang bertanggung jawab, dengan aturan apa?</w:t>
      </w:r>
    </w:p>
    <w:p>
      <w:pPr>
        <w:pStyle w:val="BodyText"/>
      </w:pPr>
      <w:r>
        <w:t xml:space="preserve">Dua kondisi menjadikan governance prioritas yang tidak bisa ditunda. Pertama, UU PDP berlaku efektif Oktober 2024 setelah masa transisi dua tahun sejak disahkan 17 Oktober 2022 (</w:t>
      </w:r>
      <w:hyperlink r:id="rId17">
        <w:r>
          <w:rPr>
            <w:rStyle w:val="Hyperlink"/>
          </w:rPr>
          <w:t xml:space="preserve">Peraturan BPK</w:t>
        </w:r>
      </w:hyperlink>
      <w:r>
        <w:t xml:space="preserve">). Kedua, BPDP (</w:t>
      </w:r>
      <w:r>
        <w:rPr>
          <w:i/>
          <w:iCs/>
        </w:rPr>
        <w:t xml:space="preserve">Badan Pelindungan Data Pribadi</w:t>
      </w:r>
      <w:r>
        <w:t xml:space="preserve">) sedang dalam proses pembentukan berdasarkan Peraturan Presiden. Artinya: kewajiban hukumnya sudah berlaku, kapasitas enforcement-nya sedang dibangun. Perusahaan yang membangun governance sekarang lebih siap, dan lebih murah, daripada yang menunggu BPDP aktif lalu melakukan retrofit.</w:t>
      </w:r>
    </w:p>
    <w:bookmarkEnd w:id="18"/>
    <w:bookmarkStart w:id="19" w:name="Xd32d2caf56686864a456d9215f95908fc844fce"/>
    <w:p>
      <w:pPr>
        <w:pStyle w:val="Heading2"/>
      </w:pPr>
      <w:r>
        <w:t xml:space="preserve">Apa yang Diminta UU PDP dari Sistem Data Enterprise Anda?</w:t>
      </w:r>
    </w:p>
    <w:p>
      <w:pPr>
        <w:pStyle w:val="FirstParagraph"/>
      </w:pPr>
      <w:r>
        <w:t xml:space="preserve">UU No. 27/2022 memberlakukan kewajiban yang, jika diterjemahkan ke bahasa teknis IT, langsung menunjuk ke infrastruktur data. Berikut lima kewajiban teknis yang paling berdampak pada arsitektur data (bukan interpretasi hukum yang lengkap; konsultasikan pengacara untuk konteks spesifik perusahaan Anda):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Kewajiban UU PDP</w:t>
            </w:r>
          </w:p>
        </w:tc>
        <w:tc>
          <w:tcPr/>
          <w:p>
            <w:pPr>
              <w:pStyle w:val="Compact"/>
            </w:pPr>
            <w:r>
              <w:t xml:space="preserve">Implikasi Teknis</w:t>
            </w:r>
          </w:p>
        </w:tc>
        <w:tc>
          <w:tcPr/>
          <w:p>
            <w:pPr>
              <w:pStyle w:val="Compact"/>
            </w:pPr>
            <w:r>
              <w:t xml:space="preserve">Kapabilitas Data Warehouse yang Menjawab</w:t>
            </w:r>
          </w:p>
        </w:tc>
      </w:tr>
      <w:tr>
        <w:tc>
          <w:tcPr/>
          <w:p>
            <w:pPr>
              <w:pStyle w:val="Compact"/>
            </w:pPr>
            <w:r>
              <w:t xml:space="preserve">Inventarisasi data pribadi yang diproses</w:t>
            </w:r>
          </w:p>
        </w:tc>
        <w:tc>
          <w:tcPr/>
          <w:p>
            <w:pPr>
              <w:pStyle w:val="Compact"/>
            </w:pPr>
            <w:r>
              <w:t xml:space="preserve">Harus tahu: data apa, dari mana, untuk apa</w:t>
            </w:r>
          </w:p>
        </w:tc>
        <w:tc>
          <w:tcPr/>
          <w:p>
            <w:pPr>
              <w:pStyle w:val="Compact"/>
            </w:pPr>
            <w:r>
              <w:rPr>
                <w:b/>
                <w:bCs/>
              </w:rPr>
              <w:t xml:space="preserve">Data catalog</w:t>
            </w:r>
            <w:r>
              <w:t xml:space="preserve"> </w:t>
            </w:r>
            <w:r>
              <w:t xml:space="preserve">— metadata inventory dan klasifikasi</w:t>
            </w:r>
          </w:p>
        </w:tc>
      </w:tr>
      <w:tr>
        <w:tc>
          <w:tcPr/>
          <w:p>
            <w:pPr>
              <w:pStyle w:val="Compact"/>
            </w:pPr>
            <w:r>
              <w:t xml:space="preserve">Pembatasan akses +</w:t>
            </w:r>
            <w:r>
              <w:t xml:space="preserve"> </w:t>
            </w:r>
            <w:r>
              <w:rPr>
                <w:i/>
                <w:iCs/>
              </w:rPr>
              <w:t xml:space="preserve">privacy by design</w:t>
            </w:r>
          </w:p>
        </w:tc>
        <w:tc>
          <w:tcPr/>
          <w:p>
            <w:pPr>
              <w:pStyle w:val="Compact"/>
            </w:pPr>
            <w:r>
              <w:t xml:space="preserve">Akses hanya untuk yang berwenang</w:t>
            </w:r>
          </w:p>
        </w:tc>
        <w:tc>
          <w:tcPr/>
          <w:p>
            <w:pPr>
              <w:pStyle w:val="Compact"/>
            </w:pPr>
            <w:r>
              <w:rPr>
                <w:b/>
                <w:bCs/>
              </w:rPr>
              <w:t xml:space="preserve">RBAC</w:t>
            </w:r>
            <w:r>
              <w:t xml:space="preserve"> </w:t>
            </w:r>
            <w:r>
              <w:t xml:space="preserve">+</w:t>
            </w:r>
            <w:r>
              <w:t xml:space="preserve"> </w:t>
            </w:r>
            <w:r>
              <w:rPr>
                <w:i/>
                <w:iCs/>
              </w:rPr>
              <w:t xml:space="preserve">space-level security isolation</w:t>
            </w:r>
          </w:p>
        </w:tc>
      </w:tr>
      <w:tr>
        <w:tc>
          <w:tcPr/>
          <w:p>
            <w:pPr>
              <w:pStyle w:val="Compact"/>
            </w:pPr>
            <w:r>
              <w:t xml:space="preserve">Hak hapus dan portabilitas data</w:t>
            </w:r>
          </w:p>
        </w:tc>
        <w:tc>
          <w:tcPr/>
          <w:p>
            <w:pPr>
              <w:pStyle w:val="Compact"/>
            </w:pPr>
            <w:r>
              <w:t xml:space="preserve">Bisa</w:t>
            </w:r>
            <w:r>
              <w:t xml:space="preserve"> </w:t>
            </w:r>
            <w:r>
              <w:rPr>
                <w:i/>
                <w:iCs/>
              </w:rPr>
              <w:t xml:space="preserve">delete</w:t>
            </w:r>
            <w:r>
              <w:t xml:space="preserve">/ekspor data per individu</w:t>
            </w:r>
          </w:p>
        </w:tc>
        <w:tc>
          <w:tcPr/>
          <w:p>
            <w:pPr>
              <w:pStyle w:val="Compact"/>
            </w:pPr>
            <w:r>
              <w:rPr>
                <w:b/>
                <w:bCs/>
              </w:rPr>
              <w:t xml:space="preserve">Data lineage</w:t>
            </w:r>
            <w:r>
              <w:t xml:space="preserve"> </w:t>
            </w:r>
            <w:r>
              <w:t xml:space="preserve">— lacak di mana data disimpan</w:t>
            </w:r>
          </w:p>
        </w:tc>
      </w:tr>
      <w:tr>
        <w:tc>
          <w:tcPr/>
          <w:p>
            <w:pPr>
              <w:pStyle w:val="Compact"/>
            </w:pPr>
            <w:r>
              <w:rPr>
                <w:i/>
                <w:iCs/>
              </w:rPr>
              <w:t xml:space="preserve">Audit trail</w:t>
            </w:r>
            <w:r>
              <w:t xml:space="preserve"> </w:t>
            </w:r>
            <w:r>
              <w:t xml:space="preserve">dan notifikasi</w:t>
            </w:r>
            <w:r>
              <w:t xml:space="preserve"> </w:t>
            </w:r>
            <w:r>
              <w:rPr>
                <w:i/>
                <w:iCs/>
              </w:rPr>
              <w:t xml:space="preserve">breach</w:t>
            </w:r>
          </w:p>
        </w:tc>
        <w:tc>
          <w:tcPr/>
          <w:p>
            <w:pPr>
              <w:pStyle w:val="Compact"/>
            </w:pPr>
            <w:r>
              <w:t xml:space="preserve">Bisa tunjukkan</w:t>
            </w:r>
            <w:r>
              <w:t xml:space="preserve"> </w:t>
            </w:r>
            <w:r>
              <w:t xml:space="preserve">“siapa akses apa kapan”</w:t>
            </w:r>
          </w:p>
        </w:tc>
        <w:tc>
          <w:tcPr/>
          <w:p>
            <w:pPr>
              <w:pStyle w:val="Compact"/>
            </w:pPr>
            <w:r>
              <w:rPr>
                <w:b/>
                <w:bCs/>
              </w:rPr>
              <w:t xml:space="preserve">Audit logging</w:t>
            </w:r>
            <w:r>
              <w:t xml:space="preserve"> </w:t>
            </w:r>
            <w:r>
              <w:t xml:space="preserve">— log akses yang tidak bisa dimanipulasi</w:t>
            </w:r>
          </w:p>
        </w:tc>
      </w:tr>
      <w:tr>
        <w:tc>
          <w:tcPr/>
          <w:p>
            <w:pPr>
              <w:pStyle w:val="Compact"/>
            </w:pPr>
            <w:r>
              <w:t xml:space="preserve">Retensi data sesuai tujuan</w:t>
            </w:r>
          </w:p>
        </w:tc>
        <w:tc>
          <w:tcPr/>
          <w:p>
            <w:pPr>
              <w:pStyle w:val="Compact"/>
            </w:pPr>
            <w:r>
              <w:t xml:space="preserve">Data tidak boleh disimpan melampaui tujuan awal</w:t>
            </w:r>
          </w:p>
        </w:tc>
        <w:tc>
          <w:tcPr/>
          <w:p>
            <w:pPr>
              <w:pStyle w:val="Compact"/>
            </w:pPr>
            <w:r>
              <w:rPr>
                <w:b/>
                <w:bCs/>
              </w:rPr>
              <w:t xml:space="preserve">Data retention policy</w:t>
            </w:r>
            <w:r>
              <w:t xml:space="preserve"> </w:t>
            </w:r>
            <w:r>
              <w:t xml:space="preserve">— jadwal penghapusan otomatis</w:t>
            </w:r>
          </w:p>
        </w:tc>
      </w:tr>
    </w:tbl>
    <w:p>
      <w:pPr>
        <w:pStyle w:val="BodyText"/>
      </w:pPr>
      <w:r>
        <w:t xml:space="preserve">Sanksinya material. Untuk pelanggaran serius seperti pemalsuan data pribadi, denda korporasi bisa mencapai</w:t>
      </w:r>
      <w:r>
        <w:t xml:space="preserve"> </w:t>
      </w:r>
      <w:r>
        <w:rPr>
          <w:b/>
          <w:bCs/>
        </w:rPr>
        <w:t xml:space="preserve">Rp 60 miliar</w:t>
      </w:r>
      <w:r>
        <w:t xml:space="preserve"> </w:t>
      </w:r>
      <w:r>
        <w:t xml:space="preserve">(10× denda individu). Sanksi administratif menambahkan denda hingga</w:t>
      </w:r>
      <w:r>
        <w:t xml:space="preserve"> </w:t>
      </w:r>
      <w:r>
        <w:rPr>
          <w:b/>
          <w:bCs/>
        </w:rPr>
        <w:t xml:space="preserve">2% dari pendapatan tahunan</w:t>
      </w:r>
      <w:r>
        <w:t xml:space="preserve"> </w:t>
      </w:r>
      <w:r>
        <w:t xml:space="preserve">perusahaan, selain penghentian sementara pemrosesan data. Angka ini harus masuk dalam kalkulasi risiko direksi dan CFO, bukan hanya compliance officer.</w:t>
      </w:r>
    </w:p>
    <w:bookmarkEnd w:id="19"/>
    <w:bookmarkStart w:id="22" w:name="X9381c2df5b6abd467d6145b43a7501d05eb2512"/>
    <w:p>
      <w:pPr>
        <w:pStyle w:val="Heading2"/>
      </w:pPr>
      <w:r>
        <w:t xml:space="preserve">Bagaimana Data Warehouse Mendukung Kepatuhan Regulasi secara Teknis</w:t>
      </w:r>
    </w:p>
    <w:p>
      <w:pPr>
        <w:pStyle w:val="FirstParagraph"/>
      </w:pPr>
      <w:r>
        <w:t xml:space="preserve">Tabel kewajiban di atas bukan hanya peta regulasi; ia juga peta arsitektur. Lima kapabilitas teknis di kolom kanan adalah komponen</w:t>
      </w:r>
      <w:r>
        <w:t xml:space="preserve"> </w:t>
      </w:r>
      <w:r>
        <w:rPr>
          <w:i/>
          <w:iCs/>
        </w:rPr>
        <w:t xml:space="preserve">data warehouse</w:t>
      </w:r>
      <w:r>
        <w:t xml:space="preserve"> </w:t>
      </w:r>
      <w:r>
        <w:t xml:space="preserve">yang langsung menjawab kewajiban hukum.</w:t>
      </w:r>
    </w:p>
    <w:p>
      <w:pPr>
        <w:pStyle w:val="BodyText"/>
      </w:pPr>
      <w:r>
        <w:rPr>
          <w:i/>
          <w:iCs/>
        </w:rPr>
        <w:t xml:space="preserve">Data catalog</w:t>
      </w:r>
      <w:r>
        <w:t xml:space="preserve"> </w:t>
      </w:r>
      <w:r>
        <w:t xml:space="preserve">memungkinkan inventarisasi metadata otomatis: Anda tahu data pribadi apa yang ada, dari sistem mana, dan untuk tujuan apa. Itu prasyarat minimal sebelum bisa menjawab regulator.</w:t>
      </w:r>
      <w:r>
        <w:t xml:space="preserve"> </w:t>
      </w:r>
      <w:r>
        <w:rPr>
          <w:i/>
          <w:iCs/>
        </w:rPr>
        <w:t xml:space="preserve">Data lineage</w:t>
      </w:r>
      <w:r>
        <w:t xml:space="preserve"> </w:t>
      </w:r>
      <w:r>
        <w:t xml:space="preserve">melacak perjalanan data dari sistem sumber (ERP, CRM) melalui setiap transformasi hingga laporan akhir. Ini krusial untuk audit regulator (</w:t>
      </w:r>
      <w:r>
        <w:t xml:space="preserve">“dari mana angka ini berasal?”</w:t>
      </w:r>
      <w:r>
        <w:t xml:space="preserve">) dan pemenuhan hak hapus, di mana Anda perlu menelusuri semua salinan data di seluruh sistem.</w:t>
      </w:r>
    </w:p>
    <w:p>
      <w:pPr>
        <w:pStyle w:val="BodyText"/>
      </w:pPr>
      <w:r>
        <w:t xml:space="preserve">RBAC dan</w:t>
      </w:r>
      <w:r>
        <w:t xml:space="preserve"> </w:t>
      </w:r>
      <w:r>
        <w:rPr>
          <w:i/>
          <w:iCs/>
        </w:rPr>
        <w:t xml:space="preserve">audit logging</w:t>
      </w:r>
      <w:r>
        <w:t xml:space="preserve"> </w:t>
      </w:r>
      <w:r>
        <w:t xml:space="preserve">bekerja bersama: RBAC membatasi siapa yang bisa mengakses apa, sementara log akses yang</w:t>
      </w:r>
      <w:r>
        <w:t xml:space="preserve"> </w:t>
      </w:r>
      <w:r>
        <w:rPr>
          <w:i/>
          <w:iCs/>
        </w:rPr>
        <w:t xml:space="preserve">immutable</w:t>
      </w:r>
      <w:r>
        <w:t xml:space="preserve"> </w:t>
      </w:r>
      <w:r>
        <w:t xml:space="preserve">membuktikan kepada auditor bahwa pembatasan itu ditegakkan.</w:t>
      </w:r>
      <w:r>
        <w:t xml:space="preserve"> </w:t>
      </w:r>
      <w:r>
        <w:rPr>
          <w:i/>
          <w:iCs/>
        </w:rPr>
        <w:t xml:space="preserve">Retention policy engine</w:t>
      </w:r>
      <w:r>
        <w:t xml:space="preserve"> </w:t>
      </w:r>
      <w:r>
        <w:t xml:space="preserve">menutup siklus dengan menghapus data otomatis sesuai jadwal.</w:t>
      </w:r>
    </w:p>
    <w:p>
      <w:pPr>
        <w:pStyle w:val="BodyText"/>
      </w:pPr>
      <w:r>
        <w:t xml:space="preserve">SAP Datasphere menyediakan semua kemampuan ini secara</w:t>
      </w:r>
      <w:r>
        <w:t xml:space="preserve"> </w:t>
      </w:r>
      <w:r>
        <w:rPr>
          <w:i/>
          <w:iCs/>
        </w:rPr>
        <w:t xml:space="preserve">built-in</w:t>
      </w:r>
      <w:r>
        <w:t xml:space="preserve">:</w:t>
      </w:r>
      <w:r>
        <w:t xml:space="preserve"> </w:t>
      </w:r>
      <w:r>
        <w:rPr>
          <w:i/>
          <w:iCs/>
        </w:rPr>
        <w:t xml:space="preserve">data catalog</w:t>
      </w:r>
      <w:r>
        <w:t xml:space="preserve"> </w:t>
      </w:r>
      <w:r>
        <w:t xml:space="preserve">dengan</w:t>
      </w:r>
      <w:r>
        <w:t xml:space="preserve"> </w:t>
      </w:r>
      <w:r>
        <w:rPr>
          <w:i/>
          <w:iCs/>
        </w:rPr>
        <w:t xml:space="preserve">AI-powered metadata</w:t>
      </w:r>
      <w:r>
        <w:t xml:space="preserve">,</w:t>
      </w:r>
      <w:r>
        <w:t xml:space="preserve"> </w:t>
      </w:r>
      <w:r>
        <w:rPr>
          <w:i/>
          <w:iCs/>
        </w:rPr>
        <w:t xml:space="preserve">end-to-end data lineage</w:t>
      </w:r>
      <w:r>
        <w:t xml:space="preserve"> </w:t>
      </w:r>
      <w:r>
        <w:t xml:space="preserve">termasuk</w:t>
      </w:r>
      <w:r>
        <w:t xml:space="preserve"> </w:t>
      </w:r>
      <w:r>
        <w:rPr>
          <w:i/>
          <w:iCs/>
        </w:rPr>
        <w:t xml:space="preserve">column-level</w:t>
      </w:r>
      <w:r>
        <w:t xml:space="preserve">, RBAC berbasis</w:t>
      </w:r>
      <w:r>
        <w:t xml:space="preserve"> </w:t>
      </w:r>
      <w:r>
        <w:rPr>
          <w:i/>
          <w:iCs/>
        </w:rPr>
        <w:t xml:space="preserve">space-level isolation</w:t>
      </w:r>
      <w:r>
        <w:t xml:space="preserve">, dan</w:t>
      </w:r>
      <w:r>
        <w:t xml:space="preserve"> </w:t>
      </w:r>
      <w:r>
        <w:rPr>
          <w:i/>
          <w:iCs/>
        </w:rPr>
        <w:t xml:space="preserve">audit logging</w:t>
      </w:r>
      <w:r>
        <w:t xml:space="preserve"> </w:t>
      </w:r>
      <w:r>
        <w:t xml:space="preserve">yang mendukung standar GDPR, SOX, serta HIPAA, setara konseptual dengan kebutuhan UU PDP Indonesia (</w:t>
      </w:r>
      <w:hyperlink r:id="rId20">
        <w:r>
          <w:rPr>
            <w:rStyle w:val="Hyperlink"/>
          </w:rPr>
          <w:t xml:space="preserve">SAP, Maret 2026</w:t>
        </w:r>
      </w:hyperlink>
      <w:r>
        <w:t xml:space="preserve">). Konfigurasi fitur-fitur governance inilah yang Soltius bantu terapkan untuk perusahaan Indonesia yang sedang mempersiapkan arsitektur data yang accountable.</w:t>
      </w:r>
    </w:p>
    <w:p>
      <w:pPr>
        <w:pStyle w:val="BodyText"/>
      </w:pPr>
      <w:r>
        <w:rPr>
          <w:b/>
          <w:bCs/>
        </w:rPr>
        <w:t xml:space="preserve">BACA JUGA:</w:t>
      </w:r>
      <w:r>
        <w:t xml:space="preserve"> </w:t>
      </w:r>
      <w:hyperlink r:id="rId21">
        <w:r>
          <w:rPr>
            <w:rStyle w:val="Hyperlink"/>
          </w:rPr>
          <w:t xml:space="preserve">Data Warehouse Solutions</w:t>
        </w:r>
      </w:hyperlink>
      <w:r>
        <w:t xml:space="preserve">.</w:t>
      </w:r>
    </w:p>
    <w:p>
      <w:pPr>
        <w:pStyle w:val="BodyText"/>
      </w:pPr>
      <w:r>
        <w:rPr>
          <w:i/>
          <w:iCs/>
        </w:rPr>
        <w:t xml:space="preserve">[Image 02: Flowchart</w:t>
      </w:r>
      <w:r>
        <w:rPr>
          <w:i/>
          <w:iCs/>
        </w:rPr>
        <w:t xml:space="preserve"> </w:t>
      </w:r>
      <w:r>
        <w:rPr>
          <w:i/>
          <w:iCs/>
        </w:rPr>
        <w:t xml:space="preserve">“Data Lineage End-to-End”</w:t>
      </w:r>
      <w:r>
        <w:rPr>
          <w:i/>
          <w:iCs/>
        </w:rPr>
        <w:t xml:space="preserve"> </w:t>
      </w:r>
      <w:r>
        <w:rPr>
          <w:i/>
          <w:iCs/>
        </w:rPr>
        <w:t xml:space="preserve">— alur data dari kiri ke kanan: sistem sumber (ERP/CRM/SCM, ikon kubus biru) → proses ETL/ELT (ikon gear abu-abu) → data warehouse (silinder hijau, berlabel</w:t>
      </w:r>
      <w:r>
        <w:rPr>
          <w:i/>
          <w:iCs/>
        </w:rPr>
        <w:t xml:space="preserve"> </w:t>
      </w:r>
      <w:r>
        <w:rPr>
          <w:i/>
          <w:iCs/>
        </w:rPr>
        <w:t xml:space="preserve">“SAP Datasphere”</w:t>
      </w:r>
      <w:r>
        <w:rPr>
          <w:i/>
          <w:iCs/>
        </w:rPr>
        <w:t xml:space="preserve">) → laporan/dashboard (ikon layar); setiap sambungan berlabel dengan keterangan</w:t>
      </w:r>
      <w:r>
        <w:rPr>
          <w:i/>
          <w:iCs/>
        </w:rPr>
        <w:t xml:space="preserve"> </w:t>
      </w:r>
      <w:r>
        <w:rPr>
          <w:i/>
          <w:iCs/>
        </w:rPr>
        <w:t xml:space="preserve">“siapa mengubah apa”</w:t>
      </w:r>
      <w:r>
        <w:rPr>
          <w:i/>
          <w:iCs/>
        </w:rPr>
        <w:t xml:space="preserve">; teks Bahasa Indonesia, gaya teknis-korporat]</w:t>
      </w:r>
    </w:p>
    <w:bookmarkEnd w:id="22"/>
    <w:bookmarkStart w:id="24" w:name="X41a25e4809e0ef50ba619c1ea15d5de7446ba92"/>
    <w:p>
      <w:pPr>
        <w:pStyle w:val="Heading2"/>
      </w:pPr>
      <w:r>
        <w:t xml:space="preserve">Framework Data Governance: Lima Komponen dari Kebijakan ke Infrastruktur</w:t>
      </w:r>
    </w:p>
    <w:p>
      <w:pPr>
        <w:pStyle w:val="FirstParagraph"/>
      </w:pPr>
      <w:r>
        <w:rPr>
          <w:i/>
          <w:iCs/>
        </w:rPr>
        <w:t xml:space="preserve">Governance</w:t>
      </w:r>
      <w:r>
        <w:t xml:space="preserve"> </w:t>
      </w:r>
      <w:r>
        <w:t xml:space="preserve">yang efektif adalah kombinasi kebijakan, tanggung jawab manusia, dan infrastruktur teknis yang saling mendukung. Lima komponen ini perlu hadir bersamaan:</w:t>
      </w:r>
    </w:p>
    <w:p>
      <w:pPr>
        <w:numPr>
          <w:ilvl w:val="0"/>
          <w:numId w:val="1001"/>
        </w:numPr>
      </w:pPr>
      <w:r>
        <w:rPr>
          <w:b/>
          <w:bCs/>
        </w:rPr>
        <w:t xml:space="preserve">Data Ownership &amp; Stewardship</w:t>
      </w:r>
      <w:r>
        <w:t xml:space="preserve"> </w:t>
      </w:r>
      <w:r>
        <w:t xml:space="preserve">— Tunjuk</w:t>
      </w:r>
      <w:r>
        <w:t xml:space="preserve"> </w:t>
      </w:r>
      <w:r>
        <w:rPr>
          <w:i/>
          <w:iCs/>
        </w:rPr>
        <w:t xml:space="preserve">Data Steward</w:t>
      </w:r>
      <w:r>
        <w:t xml:space="preserve"> </w:t>
      </w:r>
      <w:r>
        <w:t xml:space="preserve">per domain (keuangan, HR, pelanggan). Tanpa pemilik yang jelas, tidak ada yang bertanggung jawab saat terjadi anomali atau permintaan dari regulator.</w:t>
      </w:r>
    </w:p>
    <w:p>
      <w:pPr>
        <w:numPr>
          <w:ilvl w:val="0"/>
          <w:numId w:val="1001"/>
        </w:numPr>
      </w:pPr>
      <w:r>
        <w:rPr>
          <w:b/>
          <w:bCs/>
        </w:rPr>
        <w:t xml:space="preserve">Data Classification</w:t>
      </w:r>
      <w:r>
        <w:t xml:space="preserve"> </w:t>
      </w:r>
      <w:r>
        <w:t xml:space="preserve">— Klasifikasikan semua data: publik, internal, konfidensial, personal. Data kategori</w:t>
      </w:r>
      <w:r>
        <w:t xml:space="preserve"> </w:t>
      </w:r>
      <w:r>
        <w:t xml:space="preserve">“personal”</w:t>
      </w:r>
      <w:r>
        <w:t xml:space="preserve"> </w:t>
      </w:r>
      <w:r>
        <w:t xml:space="preserve">sesuai UU PDP memerlukan akses yang lebih ketat, retensi lebih pendek, dan prosedur penghapusan terdokumentasi.</w:t>
      </w:r>
    </w:p>
    <w:p>
      <w:pPr>
        <w:numPr>
          <w:ilvl w:val="0"/>
          <w:numId w:val="1001"/>
        </w:numPr>
      </w:pPr>
      <w:r>
        <w:rPr>
          <w:b/>
          <w:bCs/>
        </w:rPr>
        <w:t xml:space="preserve">Data Quality Standards</w:t>
      </w:r>
      <w:r>
        <w:t xml:space="preserve"> </w:t>
      </w:r>
      <w:r>
        <w:t xml:space="preserve">— Tetapkan standar kualitas yang terukur: kelengkapan, akurasi, dan konsistensi. Tim bisnis perlu tahu kapan data cukup andal untuk jadi dasar keputusan strategis.</w:t>
      </w:r>
    </w:p>
    <w:p>
      <w:pPr>
        <w:numPr>
          <w:ilvl w:val="0"/>
          <w:numId w:val="1001"/>
        </w:numPr>
      </w:pPr>
      <w:r>
        <w:rPr>
          <w:b/>
          <w:bCs/>
        </w:rPr>
        <w:t xml:space="preserve">Access Management &amp; Audit</w:t>
      </w:r>
      <w:r>
        <w:t xml:space="preserve"> </w:t>
      </w:r>
      <w:r>
        <w:t xml:space="preserve">— RBAC dikombinasikan dengan</w:t>
      </w:r>
      <w:r>
        <w:t xml:space="preserve"> </w:t>
      </w:r>
      <w:r>
        <w:rPr>
          <w:i/>
          <w:iCs/>
        </w:rPr>
        <w:t xml:space="preserve">access review</w:t>
      </w:r>
      <w:r>
        <w:t xml:space="preserve"> </w:t>
      </w:r>
      <w:r>
        <w:t xml:space="preserve">tahunan: siapa yang masih butuh akses data apa, dan siapa yang sudah tidak perlu.</w:t>
      </w:r>
    </w:p>
    <w:p>
      <w:pPr>
        <w:numPr>
          <w:ilvl w:val="0"/>
          <w:numId w:val="1001"/>
        </w:numPr>
      </w:pPr>
      <w:r>
        <w:rPr>
          <w:b/>
          <w:bCs/>
        </w:rPr>
        <w:t xml:space="preserve">Incident Response &amp; Breach Notification</w:t>
      </w:r>
      <w:r>
        <w:t xml:space="preserve"> </w:t>
      </w:r>
      <w:r>
        <w:t xml:space="preserve">— Dokumentasikan prosedur respons insiden, termasuk waktu konfirmasi dan pelaporan</w:t>
      </w:r>
      <w:r>
        <w:t xml:space="preserve"> </w:t>
      </w:r>
      <w:r>
        <w:rPr>
          <w:i/>
          <w:iCs/>
        </w:rPr>
        <w:t xml:space="preserve">breach</w:t>
      </w:r>
      <w:r>
        <w:t xml:space="preserve"> </w:t>
      </w:r>
      <w:r>
        <w:t xml:space="preserve">kepada BPDP. Komponen ini tidak boleh hanya ada di atas kertas.</w:t>
      </w:r>
    </w:p>
    <w:p>
      <w:pPr>
        <w:pStyle w:val="FirstParagraph"/>
      </w:pPr>
      <w:r>
        <w:t xml:space="preserve">Momen terbaik membangun governance dari nol adalah saat melakukan</w:t>
      </w:r>
      <w:r>
        <w:t xml:space="preserve"> </w:t>
      </w:r>
      <w:hyperlink r:id="rId23">
        <w:r>
          <w:rPr>
            <w:rStyle w:val="Hyperlink"/>
          </w:rPr>
          <w:t xml:space="preserve">migrasi ERP ke cloud</w:t>
        </w:r>
      </w:hyperlink>
      <w:r>
        <w:t xml:space="preserve">. Membangun</w:t>
      </w:r>
      <w:r>
        <w:t xml:space="preserve"> </w:t>
      </w:r>
      <w:r>
        <w:rPr>
          <w:i/>
          <w:iCs/>
        </w:rPr>
        <w:t xml:space="preserve">privacy by design</w:t>
      </w:r>
      <w:r>
        <w:t xml:space="preserve"> </w:t>
      </w:r>
      <w:r>
        <w:t xml:space="preserve">sejak awal implementasi jauh lebih murah daripada retrofit setelah sistem berjalan bertahun-tahun.</w:t>
      </w:r>
    </w:p>
    <w:bookmarkEnd w:id="24"/>
    <w:bookmarkStart w:id="26" w:name="X29bd5b3f7811e7fea73619da614a16062f0d6b9"/>
    <w:p>
      <w:pPr>
        <w:pStyle w:val="Heading2"/>
      </w:pPr>
      <w:r>
        <w:t xml:space="preserve">Governance Bukan Hanya Soal Kepatuhan: Data yang Governed Adalah Aset Kompetitif</w:t>
      </w:r>
    </w:p>
    <w:p>
      <w:pPr>
        <w:pStyle w:val="FirstParagraph"/>
      </w:pPr>
      <w:r>
        <w:t xml:space="preserve">Ini bagian yang jarang ditulis dalam konteks UU PDP, padahal justru ini yang menentukan apakah</w:t>
      </w:r>
      <w:r>
        <w:t xml:space="preserve"> </w:t>
      </w:r>
      <w:r>
        <w:rPr>
          <w:i/>
          <w:iCs/>
        </w:rPr>
        <w:t xml:space="preserve">governance</w:t>
      </w:r>
      <w:r>
        <w:t xml:space="preserve"> </w:t>
      </w:r>
      <w:r>
        <w:t xml:space="preserve">bertahan jangka panjang.</w:t>
      </w:r>
    </w:p>
    <w:p>
      <w:pPr>
        <w:pStyle w:val="BodyText"/>
      </w:pPr>
      <w:r>
        <w:t xml:space="preserve">Perusahaan yang membangun</w:t>
      </w:r>
      <w:r>
        <w:t xml:space="preserve"> </w:t>
      </w:r>
      <w:r>
        <w:rPr>
          <w:i/>
          <w:iCs/>
        </w:rPr>
        <w:t xml:space="preserve">governance</w:t>
      </w:r>
      <w:r>
        <w:t xml:space="preserve"> </w:t>
      </w:r>
      <w:r>
        <w:t xml:space="preserve">semata-mata untuk menghindari sanksi cenderung menghasilkan framework yang terlalu birokratis: terlalu banyak lapisan persetujuan, sehingga memperlambat analitik dan mendorong tim bisnis mencari jalan pintas. Itu bukan keberhasilan</w:t>
      </w:r>
      <w:r>
        <w:t xml:space="preserve"> </w:t>
      </w:r>
      <w:r>
        <w:rPr>
          <w:i/>
          <w:iCs/>
        </w:rPr>
        <w:t xml:space="preserve">governance</w:t>
      </w:r>
      <w:r>
        <w:t xml:space="preserve">. Itu kegagalan yang tersamarkan.</w:t>
      </w:r>
    </w:p>
    <w:p>
      <w:pPr>
        <w:pStyle w:val="BodyText"/>
      </w:pPr>
      <w:r>
        <w:rPr>
          <w:i/>
          <w:iCs/>
        </w:rPr>
        <w:t xml:space="preserve">Enabling governance</w:t>
      </w:r>
      <w:r>
        <w:t xml:space="preserve"> </w:t>
      </w:r>
      <w:r>
        <w:t xml:space="preserve">bekerja sebaliknya: memudahkan orang yang berwenang mengakses data yang mereka butuhkan, dalam keyakinan bahwa data itu akurat. Perusahaan dengan</w:t>
      </w:r>
      <w:r>
        <w:t xml:space="preserve"> </w:t>
      </w:r>
      <w:r>
        <w:rPr>
          <w:i/>
          <w:iCs/>
        </w:rPr>
        <w:t xml:space="preserve">single source of truth</w:t>
      </w:r>
      <w:r>
        <w:t xml:space="preserve"> </w:t>
      </w:r>
      <w:r>
        <w:t xml:space="preserve">yang governed lebih cepat menutup buku bulanan dan lebih percaya diri dalam keputusan investasi.</w:t>
      </w:r>
    </w:p>
    <w:p>
      <w:pPr>
        <w:pStyle w:val="BodyText"/>
      </w:pPr>
      <w:r>
        <w:t xml:space="preserve">Inisiatif</w:t>
      </w:r>
      <w:r>
        <w:t xml:space="preserve"> </w:t>
      </w:r>
      <w:hyperlink r:id="rId25">
        <w:r>
          <w:rPr>
            <w:rStyle w:val="Hyperlink"/>
          </w:rPr>
          <w:t xml:space="preserve">Business Intelligence</w:t>
        </w:r>
      </w:hyperlink>
      <w:r>
        <w:t xml:space="preserve"> </w:t>
      </w:r>
      <w:r>
        <w:t xml:space="preserve">pun tidak efektif jika fondasi datanya tidak governed.</w:t>
      </w:r>
      <w:r>
        <w:t xml:space="preserve"> </w:t>
      </w:r>
      <w:r>
        <w:rPr>
          <w:i/>
          <w:iCs/>
        </w:rPr>
        <w:t xml:space="preserve">Dashboard</w:t>
      </w:r>
      <w:r>
        <w:t xml:space="preserve"> </w:t>
      </w:r>
      <w:r>
        <w:t xml:space="preserve">yang dibangun di atas data yang tidak konsisten hanya menghasilkan kepercayaan palsu. CIO yang berpengalaman mengenalinya dalam waktu singkat.</w:t>
      </w:r>
    </w:p>
    <w:bookmarkEnd w:id="26"/>
    <w:bookmarkStart w:id="34" w:name="faq-pertanyaan-yang-sering-diajukan"/>
    <w:p>
      <w:pPr>
        <w:pStyle w:val="Heading2"/>
      </w:pPr>
      <w:r>
        <w:t xml:space="preserve">FAQ (Pertanyaan yang Sering Diajukan)</w:t>
      </w:r>
    </w:p>
    <w:bookmarkStart w:id="27" w:name="apa-itu-data-governance-secara-singkat"/>
    <w:p>
      <w:pPr>
        <w:pStyle w:val="Heading3"/>
      </w:pPr>
      <w:r>
        <w:t xml:space="preserve">Apa itu data governance secara singkat?</w:t>
      </w:r>
    </w:p>
    <w:p>
      <w:pPr>
        <w:pStyle w:val="FirstParagraph"/>
      </w:pPr>
      <w:r>
        <w:rPr>
          <w:i/>
          <w:iCs/>
        </w:rPr>
        <w:t xml:space="preserve">Data governance</w:t>
      </w:r>
      <w:r>
        <w:t xml:space="preserve"> </w:t>
      </w:r>
      <w:r>
        <w:t xml:space="preserve">adalah serangkaian kebijakan, proses, dan standar yang mengatur pengelolaan data dalam organisasi: siapa yang bisa mengakses data apa, bagaimana data dikumpulkan, berapa lama disimpan, dan bagaimana dihapus. Governance mengatur seluruh siklus hidup data, berbeda dari keamanan siber yang fokus pada perlindungan dari ancaman eksternal.</w:t>
      </w:r>
    </w:p>
    <w:bookmarkEnd w:id="27"/>
    <w:bookmarkStart w:id="28" w:name="X3c7ca00c5ca61783e72761b6b68c0f477db1f60"/>
    <w:p>
      <w:pPr>
        <w:pStyle w:val="Heading3"/>
      </w:pPr>
      <w:r>
        <w:t xml:space="preserve">Apa yang diminta UU PDP dari perusahaan dalam hal pengelolaan data?</w:t>
      </w:r>
    </w:p>
    <w:p>
      <w:pPr>
        <w:pStyle w:val="FirstParagraph"/>
      </w:pPr>
      <w:r>
        <w:t xml:space="preserve">UU No. 27/2022, berlaku efektif Oktober 2024, mewajibkan: (1) inventarisasi data pribadi yang diproses, (2) pembatasan akses (</w:t>
      </w:r>
      <w:r>
        <w:rPr>
          <w:i/>
          <w:iCs/>
        </w:rPr>
        <w:t xml:space="preserve">privacy by design</w:t>
      </w:r>
      <w:r>
        <w:t xml:space="preserve">), (3) hak hapus dan portabilitas data subjek, (4)</w:t>
      </w:r>
      <w:r>
        <w:t xml:space="preserve"> </w:t>
      </w:r>
      <w:r>
        <w:rPr>
          <w:i/>
          <w:iCs/>
        </w:rPr>
        <w:t xml:space="preserve">audit trail</w:t>
      </w:r>
      <w:r>
        <w:t xml:space="preserve"> </w:t>
      </w:r>
      <w:r>
        <w:t xml:space="preserve">dan notifikasi</w:t>
      </w:r>
      <w:r>
        <w:t xml:space="preserve"> </w:t>
      </w:r>
      <w:r>
        <w:rPr>
          <w:i/>
          <w:iCs/>
        </w:rPr>
        <w:t xml:space="preserve">breach</w:t>
      </w:r>
      <w:r>
        <w:t xml:space="preserve">, serta (5) retensi data sesuai tujuan. Sanksi administratif hingga 2% pendapatan tahunan; denda korporasi mencapai Rp 60 miliar untuk pelanggaran serius.</w:t>
      </w:r>
    </w:p>
    <w:bookmarkEnd w:id="28"/>
    <w:bookmarkStart w:id="29" w:name="X5b401f5938178a2a00200a63b29f6277d0175cd"/>
    <w:p>
      <w:pPr>
        <w:pStyle w:val="Heading3"/>
      </w:pPr>
      <w:r>
        <w:t xml:space="preserve">Apa itu data lineage dan mengapa penting untuk audit?</w:t>
      </w:r>
    </w:p>
    <w:p>
      <w:pPr>
        <w:pStyle w:val="FirstParagraph"/>
      </w:pPr>
      <w:r>
        <w:rPr>
          <w:i/>
          <w:iCs/>
        </w:rPr>
        <w:t xml:space="preserve">Data lineage</w:t>
      </w:r>
      <w:r>
        <w:t xml:space="preserve"> </w:t>
      </w:r>
      <w:r>
        <w:t xml:space="preserve">adalah kemampuan melacak perjalanan data dari sistem sumber aslinya, melalui setiap transformasi, hingga laporan akhir. Dalam konteks audit,</w:t>
      </w:r>
      <w:r>
        <w:t xml:space="preserve"> </w:t>
      </w:r>
      <w:r>
        <w:rPr>
          <w:i/>
          <w:iCs/>
        </w:rPr>
        <w:t xml:space="preserve">lineage</w:t>
      </w:r>
      <w:r>
        <w:t xml:space="preserve"> </w:t>
      </w:r>
      <w:r>
        <w:t xml:space="preserve">memungkinkan perusahaan menjawab:</w:t>
      </w:r>
      <w:r>
        <w:t xml:space="preserve"> </w:t>
      </w:r>
      <w:r>
        <w:t xml:space="preserve">“dari mana angka ini berasal?”</w:t>
      </w:r>
      <w:r>
        <w:t xml:space="preserve"> </w:t>
      </w:r>
      <w:r>
        <w:t xml:space="preserve">SAP Datasphere mendukung</w:t>
      </w:r>
      <w:r>
        <w:t xml:space="preserve"> </w:t>
      </w:r>
      <w:r>
        <w:rPr>
          <w:i/>
          <w:iCs/>
        </w:rPr>
        <w:t xml:space="preserve">lineage</w:t>
      </w:r>
      <w:r>
        <w:t xml:space="preserve"> </w:t>
      </w:r>
      <w:r>
        <w:t xml:space="preserve">hingga level kolom (</w:t>
      </w:r>
      <w:r>
        <w:rPr>
          <w:i/>
          <w:iCs/>
        </w:rPr>
        <w:t xml:space="preserve">column-level lineage</w:t>
      </w:r>
      <w:r>
        <w:t xml:space="preserve">), sehingga setiap</w:t>
      </w:r>
      <w:r>
        <w:t xml:space="preserve"> </w:t>
      </w:r>
      <w:r>
        <w:rPr>
          <w:i/>
          <w:iCs/>
        </w:rPr>
        <w:t xml:space="preserve">field</w:t>
      </w:r>
      <w:r>
        <w:t xml:space="preserve"> </w:t>
      </w:r>
      <w:r>
        <w:t xml:space="preserve">dalam laporan bisa dilacak ke sumbernya.</w:t>
      </w:r>
    </w:p>
    <w:bookmarkEnd w:id="29"/>
    <w:bookmarkStart w:id="30" w:name="Xde921d7fdfa50ac18d8a5eff2240377b1860a47"/>
    <w:p>
      <w:pPr>
        <w:pStyle w:val="Heading3"/>
      </w:pPr>
      <w:r>
        <w:t xml:space="preserve">Apa perbedaan data governance dan data management?</w:t>
      </w:r>
    </w:p>
    <w:p>
      <w:pPr>
        <w:pStyle w:val="FirstParagraph"/>
      </w:pPr>
      <w:r>
        <w:rPr>
          <w:i/>
          <w:iCs/>
        </w:rPr>
        <w:t xml:space="preserve">Data management</w:t>
      </w:r>
      <w:r>
        <w:t xml:space="preserve"> </w:t>
      </w:r>
      <w:r>
        <w:t xml:space="preserve">adalah praktik teknis yang lebih luas: penyimpanan, integrasi, kualitas, dan keamanan data.</w:t>
      </w:r>
      <w:r>
        <w:t xml:space="preserve"> </w:t>
      </w:r>
      <w:r>
        <w:rPr>
          <w:i/>
          <w:iCs/>
        </w:rPr>
        <w:t xml:space="preserve">Data governance</w:t>
      </w:r>
      <w:r>
        <w:t xml:space="preserve"> </w:t>
      </w:r>
      <w:r>
        <w:t xml:space="preserve">adalah kerangka kebijakan yang menentukan siapa bertanggung jawab atas data apa dan aturan apa yang berlaku. Singkatnya: management adalah</w:t>
      </w:r>
      <w:r>
        <w:t xml:space="preserve"> </w:t>
      </w:r>
      <w:r>
        <w:rPr>
          <w:i/>
          <w:iCs/>
        </w:rPr>
        <w:t xml:space="preserve">bagaimana</w:t>
      </w:r>
      <w:r>
        <w:t xml:space="preserve"> </w:t>
      </w:r>
      <w:r>
        <w:t xml:space="preserve">data dikelola; governance adalah</w:t>
      </w:r>
      <w:r>
        <w:t xml:space="preserve"> </w:t>
      </w:r>
      <w:r>
        <w:rPr>
          <w:i/>
          <w:iCs/>
        </w:rPr>
        <w:t xml:space="preserve">oleh siapa dan dengan aturan apa</w:t>
      </w:r>
      <w:r>
        <w:t xml:space="preserve">. Keduanya saling membutuhkan.</w:t>
      </w:r>
    </w:p>
    <w:bookmarkEnd w:id="30"/>
    <w:bookmarkStart w:id="31" w:name="X486f014fc774b9fcc4fe7c83f339ae5593989b4"/>
    <w:p>
      <w:pPr>
        <w:pStyle w:val="Heading3"/>
      </w:pPr>
      <w:r>
        <w:t xml:space="preserve">Apakah SAP Datasphere memiliki fitur data governance bawaan?</w:t>
      </w:r>
    </w:p>
    <w:p>
      <w:pPr>
        <w:pStyle w:val="FirstParagraph"/>
      </w:pPr>
      <w:r>
        <w:t xml:space="preserve">Ya. SAP Datasphere dilengkapi secara</w:t>
      </w:r>
      <w:r>
        <w:t xml:space="preserve"> </w:t>
      </w:r>
      <w:r>
        <w:rPr>
          <w:i/>
          <w:iCs/>
        </w:rPr>
        <w:t xml:space="preserve">native</w:t>
      </w:r>
      <w:r>
        <w:t xml:space="preserve">:</w:t>
      </w:r>
      <w:r>
        <w:t xml:space="preserve"> </w:t>
      </w:r>
      <w:r>
        <w:rPr>
          <w:i/>
          <w:iCs/>
        </w:rPr>
        <w:t xml:space="preserve">data catalog</w:t>
      </w:r>
      <w:r>
        <w:t xml:space="preserve"> </w:t>
      </w:r>
      <w:r>
        <w:t xml:space="preserve">dengan</w:t>
      </w:r>
      <w:r>
        <w:t xml:space="preserve"> </w:t>
      </w:r>
      <w:r>
        <w:rPr>
          <w:i/>
          <w:iCs/>
        </w:rPr>
        <w:t xml:space="preserve">AI-powered metadata</w:t>
      </w:r>
      <w:r>
        <w:t xml:space="preserve">,</w:t>
      </w:r>
      <w:r>
        <w:t xml:space="preserve"> </w:t>
      </w:r>
      <w:r>
        <w:rPr>
          <w:i/>
          <w:iCs/>
        </w:rPr>
        <w:t xml:space="preserve">end-to-end data lineage</w:t>
      </w:r>
      <w:r>
        <w:t xml:space="preserve"> </w:t>
      </w:r>
      <w:r>
        <w:t xml:space="preserve">termasuk</w:t>
      </w:r>
      <w:r>
        <w:t xml:space="preserve"> </w:t>
      </w:r>
      <w:r>
        <w:rPr>
          <w:i/>
          <w:iCs/>
        </w:rPr>
        <w:t xml:space="preserve">column-level</w:t>
      </w:r>
      <w:r>
        <w:t xml:space="preserve">, RBAC berbasis</w:t>
      </w:r>
      <w:r>
        <w:t xml:space="preserve"> </w:t>
      </w:r>
      <w:r>
        <w:rPr>
          <w:i/>
          <w:iCs/>
        </w:rPr>
        <w:t xml:space="preserve">space-level isolation</w:t>
      </w:r>
      <w:r>
        <w:t xml:space="preserve">,</w:t>
      </w:r>
      <w:r>
        <w:t xml:space="preserve"> </w:t>
      </w:r>
      <w:r>
        <w:rPr>
          <w:i/>
          <w:iCs/>
        </w:rPr>
        <w:t xml:space="preserve">data masking</w:t>
      </w:r>
      <w:r>
        <w:t xml:space="preserve">, dan</w:t>
      </w:r>
      <w:r>
        <w:t xml:space="preserve"> </w:t>
      </w:r>
      <w:r>
        <w:rPr>
          <w:i/>
          <w:iCs/>
        </w:rPr>
        <w:t xml:space="preserve">audit logging</w:t>
      </w:r>
      <w:r>
        <w:t xml:space="preserve"> </w:t>
      </w:r>
      <w:r>
        <w:t xml:space="preserve">yang mendukung GDPR, HIPAA, dan SOX, setara konseptual dengan kebutuhan UU PDP. Tidak memerlukan</w:t>
      </w:r>
      <w:r>
        <w:t xml:space="preserve"> </w:t>
      </w:r>
      <w:r>
        <w:rPr>
          <w:i/>
          <w:iCs/>
        </w:rPr>
        <w:t xml:space="preserve">tools governance</w:t>
      </w:r>
      <w:r>
        <w:t xml:space="preserve"> </w:t>
      </w:r>
      <w:r>
        <w:t xml:space="preserve">tambahan dari vendor lain.</w:t>
      </w:r>
    </w:p>
    <w:bookmarkEnd w:id="31"/>
    <w:bookmarkStart w:id="32" w:name="X3988b202be69d35bd17e84b3ab1715e46572e89"/>
    <w:p>
      <w:pPr>
        <w:pStyle w:val="Heading3"/>
      </w:pPr>
      <w:r>
        <w:t xml:space="preserve">Bagaimana cara memulai program data governance di perusahaan Indonesia?</w:t>
      </w:r>
    </w:p>
    <w:p>
      <w:pPr>
        <w:pStyle w:val="FirstParagraph"/>
      </w:pPr>
      <w:r>
        <w:t xml:space="preserve">Tiga langkah: (1)</w:t>
      </w:r>
      <w:r>
        <w:t xml:space="preserve"> </w:t>
      </w:r>
      <w:r>
        <w:rPr>
          <w:b/>
          <w:bCs/>
        </w:rPr>
        <w:t xml:space="preserve">Data Discovery</w:t>
      </w:r>
      <w:r>
        <w:t xml:space="preserve"> </w:t>
      </w:r>
      <w:r>
        <w:t xml:space="preserve">— inventarisasi aset data dan identifikasi mana yang termasuk data pribadi sesuai UU PDP; (2)</w:t>
      </w:r>
      <w:r>
        <w:t xml:space="preserve"> </w:t>
      </w:r>
      <w:r>
        <w:rPr>
          <w:b/>
          <w:bCs/>
        </w:rPr>
        <w:t xml:space="preserve">Data Ownership</w:t>
      </w:r>
      <w:r>
        <w:t xml:space="preserve"> </w:t>
      </w:r>
      <w:r>
        <w:t xml:space="preserve">— tunjuk</w:t>
      </w:r>
      <w:r>
        <w:t xml:space="preserve"> </w:t>
      </w:r>
      <w:r>
        <w:rPr>
          <w:i/>
          <w:iCs/>
        </w:rPr>
        <w:t xml:space="preserve">Data Steward</w:t>
      </w:r>
      <w:r>
        <w:t xml:space="preserve"> </w:t>
      </w:r>
      <w:r>
        <w:t xml:space="preserve">per domain yang bertanggung jawab atas kualitas dan akses; (3)</w:t>
      </w:r>
      <w:r>
        <w:t xml:space="preserve"> </w:t>
      </w:r>
      <w:r>
        <w:rPr>
          <w:b/>
          <w:bCs/>
        </w:rPr>
        <w:t xml:space="preserve">Implementasi teknologi</w:t>
      </w:r>
      <w:r>
        <w:t xml:space="preserve"> </w:t>
      </w:r>
      <w:r>
        <w:t xml:space="preserve">— gunakan platform dengan</w:t>
      </w:r>
      <w:r>
        <w:t xml:space="preserve"> </w:t>
      </w:r>
      <w:r>
        <w:rPr>
          <w:i/>
          <w:iCs/>
        </w:rPr>
        <w:t xml:space="preserve">catalog</w:t>
      </w:r>
      <w:r>
        <w:t xml:space="preserve">,</w:t>
      </w:r>
      <w:r>
        <w:t xml:space="preserve"> </w:t>
      </w:r>
      <w:r>
        <w:rPr>
          <w:i/>
          <w:iCs/>
        </w:rPr>
        <w:t xml:space="preserve">lineage</w:t>
      </w:r>
      <w:r>
        <w:t xml:space="preserve">, dan RBAC agar kebijakan bisa dieksekusi dan diaudit, bukan hanya tercatat di dokumen.</w:t>
      </w:r>
    </w:p>
    <w:bookmarkEnd w:id="32"/>
    <w:bookmarkStart w:id="33" w:name="X05ad947e62fa5aae9f56812fdb10c43d2cff458"/>
    <w:p>
      <w:pPr>
        <w:pStyle w:val="Heading3"/>
      </w:pPr>
      <w:r>
        <w:t xml:space="preserve">Apa sanksi jika perusahaan melanggar UU PDP Indonesia?</w:t>
      </w:r>
    </w:p>
    <w:p>
      <w:pPr>
        <w:pStyle w:val="FirstParagraph"/>
      </w:pPr>
      <w:r>
        <w:t xml:space="preserve">UU No. 27/2022 memberlakukan dua jenis sanksi. Sanksi administratif: peringatan tertulis, penghentian pemrosesan data, penghapusan data, dan/atau denda hingga</w:t>
      </w:r>
      <w:r>
        <w:t xml:space="preserve"> </w:t>
      </w:r>
      <w:r>
        <w:rPr>
          <w:b/>
          <w:bCs/>
        </w:rPr>
        <w:t xml:space="preserve">2% dari pendapatan tahunan</w:t>
      </w:r>
      <w:r>
        <w:t xml:space="preserve">. Sanksi pidana korporasi untuk pelanggaran serius: pemalsuan data pribadi dikenai denda korporasi hingga</w:t>
      </w:r>
      <w:r>
        <w:t xml:space="preserve"> </w:t>
      </w:r>
      <w:r>
        <w:rPr>
          <w:b/>
          <w:bCs/>
        </w:rPr>
        <w:t xml:space="preserve">Rp 60 miliar</w:t>
      </w:r>
      <w:r>
        <w:t xml:space="preserve"> </w:t>
      </w:r>
      <w:r>
        <w:t xml:space="preserve">(10× denda individu). Sanksi ini berlaku sejak Oktober 2024.</w:t>
      </w:r>
    </w:p>
    <w:p>
      <w:r>
        <w:pict>
          <v:rect style="width:0;height:1.5pt" o:hralign="center" o:hrstd="t" o:hr="t"/>
        </w:pict>
      </w:r>
    </w:p>
    <w:p>
      <w:pPr>
        <w:pStyle w:val="FirstParagraph"/>
      </w:pPr>
      <w:r>
        <w:t xml:space="preserve">Data governance adalah pertaruhan dua sisi: risiko regulasi yang kini berlaku hukum, dan peluang kompetitif bagi perusahaan yang berhasil membangunnya. Pertanyaannya bukan lagi apakah</w:t>
      </w:r>
      <w:r>
        <w:t xml:space="preserve"> </w:t>
      </w:r>
      <w:r>
        <w:rPr>
          <w:i/>
          <w:iCs/>
        </w:rPr>
        <w:t xml:space="preserve">Data Warehouse Solutions</w:t>
      </w:r>
      <w:r>
        <w:t xml:space="preserve"> </w:t>
      </w:r>
      <w:r>
        <w:t xml:space="preserve">yang Anda pilih cukup cepat, melainkan apakah infrastruktur data Anda bisa membuktikan kepatuhan kepada BPDP ketika saatnya tiba. Melalui layanan</w:t>
      </w:r>
      <w:r>
        <w:t xml:space="preserve"> </w:t>
      </w:r>
      <w:r>
        <w:rPr>
          <w:i/>
          <w:iCs/>
        </w:rPr>
        <w:t xml:space="preserve">Data and AI Consulting</w:t>
      </w:r>
      <w:r>
        <w:t xml:space="preserve">, Soltius membantu merancang</w:t>
      </w:r>
      <w:r>
        <w:t xml:space="preserve"> </w:t>
      </w:r>
      <w:r>
        <w:rPr>
          <w:i/>
          <w:iCs/>
        </w:rPr>
        <w:t xml:space="preserve">framework</w:t>
      </w:r>
      <w:r>
        <w:t xml:space="preserve"> </w:t>
      </w:r>
      <w:r>
        <w:t xml:space="preserve">governance dan mengimplementasikannya di atas platform SAP, dari</w:t>
      </w:r>
      <w:r>
        <w:t xml:space="preserve"> </w:t>
      </w:r>
      <w:r>
        <w:rPr>
          <w:i/>
          <w:iCs/>
        </w:rPr>
        <w:t xml:space="preserve">data catalog</w:t>
      </w:r>
      <w:r>
        <w:t xml:space="preserve"> </w:t>
      </w:r>
      <w:r>
        <w:t xml:space="preserve">hingga</w:t>
      </w:r>
      <w:r>
        <w:t xml:space="preserve"> </w:t>
      </w:r>
      <w:r>
        <w:rPr>
          <w:i/>
          <w:iCs/>
        </w:rPr>
        <w:t xml:space="preserve">access control</w:t>
      </w:r>
      <w:r>
        <w:t xml:space="preserve">, agar siap untuk audit regulasi maupun analitik bisnis yang andal.</w:t>
      </w:r>
    </w:p>
    <w:p>
      <w:pPr>
        <w:pStyle w:val="BodyText"/>
      </w:pPr>
      <w:r>
        <w:t xml:space="preserve">Untuk mendiskusikan kesiapan</w:t>
      </w:r>
      <w:r>
        <w:t xml:space="preserve"> </w:t>
      </w:r>
      <w:r>
        <w:rPr>
          <w:i/>
          <w:iCs/>
        </w:rPr>
        <w:t xml:space="preserve">data governance</w:t>
      </w:r>
      <w:r>
        <w:t xml:space="preserve"> </w:t>
      </w:r>
      <w:r>
        <w:t xml:space="preserve">di perusahaan Anda menghadapi UU PDP, kunjungi soltius.co.id.</w:t>
      </w:r>
    </w:p>
    <w:bookmarkEnd w:id="33"/>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peraturan.bpk.go.id/Details/229798/uu-no-27-tahun-2022" TargetMode="External" /><Relationship Type="http://schemas.openxmlformats.org/officeDocument/2006/relationships/hyperlink" Id="rId20" Target="https://www.sap.com/assetdetail/2026/03/f25cee56-417f-0010-bca6-c68f7e60039b.html" TargetMode="External" /><Relationship Type="http://schemas.openxmlformats.org/officeDocument/2006/relationships/hyperlink" Id="rId25" Target="https://www.soltius.co.id/id/blog/business-intelligence" TargetMode="External" /><Relationship Type="http://schemas.openxmlformats.org/officeDocument/2006/relationships/hyperlink" Id="rId21" Target="https://www.soltius.co.id/id/blog/data-warehouse-solution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peraturan.bpk.go.id/Details/229798/uu-no-27-tahun-2022" TargetMode="External" /><Relationship Type="http://schemas.openxmlformats.org/officeDocument/2006/relationships/hyperlink" Id="rId20" Target="https://www.sap.com/assetdetail/2026/03/f25cee56-417f-0010-bca6-c68f7e60039b.html" TargetMode="External" /><Relationship Type="http://schemas.openxmlformats.org/officeDocument/2006/relationships/hyperlink" Id="rId25" Target="https://www.soltius.co.id/id/blog/business-intelligence" TargetMode="External" /><Relationship Type="http://schemas.openxmlformats.org/officeDocument/2006/relationships/hyperlink" Id="rId21" Target="https://www.soltius.co.id/id/blog/data-warehouse-solution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2026-06-02T19:07:49Z</dcterms:created>
  <dcterms:modified xsi:type="dcterms:W3CDTF">2026-06-02T19:07:49Z</dcterms:modified>
</cp:coreProperties>
</file>

<file path=docProps/custom.xml><?xml version="1.0" encoding="utf-8"?>
<Properties xmlns="http://schemas.openxmlformats.org/officeDocument/2006/custom-properties" xmlns:vt="http://schemas.openxmlformats.org/officeDocument/2006/docPropsVTypes"/>
</file>