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"Brownfield, Greenfield, atau Bluefield? Panduan Memilih Jalur Migrasi ERP ke Cloud"</w:t>
      </w:r>
      <w:r>
        <w:br/>
      </w:r>
      <w:r>
        <w:rPr>
          <w:rStyle w:val="FunctionTok"/>
        </w:rPr>
        <w:t xml:space="preserve">meta_title</w:t>
      </w:r>
      <w:r>
        <w:rPr>
          <w:rStyle w:val="KeywordTok"/>
        </w:rPr>
        <w:t xml:space="preserve">:</w:t>
      </w:r>
      <w:r>
        <w:rPr>
          <w:rStyle w:val="AttributeTok"/>
        </w:rPr>
        <w:t xml:space="preserve"> </w:t>
      </w:r>
      <w:r>
        <w:rPr>
          <w:rStyle w:val="StringTok"/>
        </w:rPr>
        <w:t xml:space="preserve">"ERP Migration to the Cloud: Brownfield vs Greenfield"</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jalur migrasi ERP ke cloud: brownfield, greenfield, atau bluefield. Matriks keputusan 4 variabel, perbandingan durasi, dan tenggat SAP ECC 2027."</w:t>
      </w:r>
      <w:r>
        <w:br/>
      </w:r>
      <w:r>
        <w:rPr>
          <w:rStyle w:val="FunctionTok"/>
        </w:rPr>
        <w:t xml:space="preserve">slug</w:t>
      </w:r>
      <w:r>
        <w:rPr>
          <w:rStyle w:val="KeywordTok"/>
        </w:rPr>
        <w:t xml:space="preserve">:</w:t>
      </w:r>
      <w:r>
        <w:rPr>
          <w:rStyle w:val="AttributeTok"/>
        </w:rPr>
        <w:t xml:space="preserve"> </w:t>
      </w:r>
      <w:r>
        <w:rPr>
          <w:rStyle w:val="StringTok"/>
        </w:rPr>
        <w:t xml:space="preserve">"brownfield-greenfield-bluefield-panduan-migrasi-erp-ke-cloud"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"brownfield SAP S/4HANA"</w:t>
      </w:r>
      <w:r>
        <w:br/>
      </w:r>
      <w:r>
        <w:rPr>
          <w:rStyle w:val="AttributeTok"/>
        </w:rPr>
        <w:t xml:space="preserve">  </w:t>
      </w:r>
      <w:r>
        <w:rPr>
          <w:rStyle w:val="KeywordTok"/>
        </w:rPr>
        <w:t xml:space="preserve">-</w:t>
      </w:r>
      <w:r>
        <w:rPr>
          <w:rStyle w:val="AttributeTok"/>
        </w:rPr>
        <w:t xml:space="preserve"> </w:t>
      </w:r>
      <w:r>
        <w:rPr>
          <w:rStyle w:val="StringTok"/>
        </w:rPr>
        <w:t xml:space="preserve">"greenfield migration SAP"</w:t>
      </w:r>
      <w:r>
        <w:br/>
      </w:r>
      <w:r>
        <w:rPr>
          <w:rStyle w:val="AttributeTok"/>
        </w:rPr>
        <w:t xml:space="preserve">  </w:t>
      </w:r>
      <w:r>
        <w:rPr>
          <w:rStyle w:val="KeywordTok"/>
        </w:rPr>
        <w:t xml:space="preserve">-</w:t>
      </w:r>
      <w:r>
        <w:rPr>
          <w:rStyle w:val="AttributeTok"/>
        </w:rPr>
        <w:t xml:space="preserve"> </w:t>
      </w:r>
      <w:r>
        <w:rPr>
          <w:rStyle w:val="StringTok"/>
        </w:rPr>
        <w:t xml:space="preserve">"bluefield selective data transition"</w:t>
      </w:r>
      <w:r>
        <w:br/>
      </w:r>
      <w:r>
        <w:rPr>
          <w:rStyle w:val="AttributeTok"/>
        </w:rPr>
        <w:t xml:space="preserve">  </w:t>
      </w:r>
      <w:r>
        <w:rPr>
          <w:rStyle w:val="KeywordTok"/>
        </w:rPr>
        <w:t xml:space="preserve">-</w:t>
      </w:r>
      <w:r>
        <w:rPr>
          <w:rStyle w:val="AttributeTok"/>
        </w:rPr>
        <w:t xml:space="preserve"> </w:t>
      </w:r>
      <w:r>
        <w:rPr>
          <w:rStyle w:val="StringTok"/>
        </w:rPr>
        <w:t xml:space="preserve">"SAP ECC ke S/4HANA"</w:t>
      </w:r>
      <w:r>
        <w:br/>
      </w:r>
      <w:r>
        <w:rPr>
          <w:rStyle w:val="AttributeTok"/>
        </w:rPr>
        <w:t xml:space="preserve">  </w:t>
      </w:r>
      <w:r>
        <w:rPr>
          <w:rStyle w:val="KeywordTok"/>
        </w:rPr>
        <w:t xml:space="preserve">-</w:t>
      </w:r>
      <w:r>
        <w:rPr>
          <w:rStyle w:val="AttributeTok"/>
        </w:rPr>
        <w:t xml:space="preserve"> </w:t>
      </w:r>
      <w:r>
        <w:rPr>
          <w:rStyle w:val="StringTok"/>
        </w:rPr>
        <w:t xml:space="preserve">"RISE with SAP jalur migrasi"</w:t>
      </w:r>
      <w:r>
        <w:br/>
      </w:r>
      <w:r>
        <w:rPr>
          <w:rStyle w:val="AttributeTok"/>
        </w:rPr>
        <w:t xml:space="preserve">  </w:t>
      </w:r>
      <w:r>
        <w:rPr>
          <w:rStyle w:val="KeywordTok"/>
        </w:rPr>
        <w:t xml:space="preserve">-</w:t>
      </w:r>
      <w:r>
        <w:rPr>
          <w:rStyle w:val="AttributeTok"/>
        </w:rPr>
        <w:t xml:space="preserve"> </w:t>
      </w:r>
      <w:r>
        <w:rPr>
          <w:rStyle w:val="StringTok"/>
        </w:rPr>
        <w:t xml:space="preserve">"konversi sistem SAP"</w:t>
      </w:r>
      <w:r>
        <w:br/>
      </w:r>
      <w:r>
        <w:rPr>
          <w:rStyle w:val="AttributeTok"/>
        </w:rPr>
        <w:t xml:space="preserve">  </w:t>
      </w:r>
      <w:r>
        <w:rPr>
          <w:rStyle w:val="KeywordTok"/>
        </w:rPr>
        <w:t xml:space="preserve">-</w:t>
      </w:r>
      <w:r>
        <w:rPr>
          <w:rStyle w:val="AttributeTok"/>
        </w:rPr>
        <w:t xml:space="preserve"> </w:t>
      </w:r>
      <w:r>
        <w:rPr>
          <w:rStyle w:val="StringTok"/>
        </w:rPr>
        <w:t xml:space="preserve">"pendekatan migrasi ERP"</w:t>
      </w:r>
      <w:r>
        <w:br/>
      </w:r>
      <w:r>
        <w:rPr>
          <w:rStyle w:val="AttributeTok"/>
        </w:rPr>
        <w:t xml:space="preserve">  </w:t>
      </w:r>
      <w:r>
        <w:rPr>
          <w:rStyle w:val="KeywordTok"/>
        </w:rPr>
        <w:t xml:space="preserve">-</w:t>
      </w:r>
      <w:r>
        <w:rPr>
          <w:rStyle w:val="AttributeTok"/>
        </w:rPr>
        <w:t xml:space="preserve"> </w:t>
      </w:r>
      <w:r>
        <w:rPr>
          <w:rStyle w:val="StringTok"/>
        </w:rPr>
        <w:t xml:space="preserve">"selective data transition"</w:t>
      </w:r>
      <w:r>
        <w:br/>
      </w:r>
      <w:r>
        <w:rPr>
          <w:rStyle w:val="AttributeTok"/>
        </w:rPr>
        <w:t xml:space="preserve">  </w:t>
      </w:r>
      <w:r>
        <w:rPr>
          <w:rStyle w:val="KeywordTok"/>
        </w:rPr>
        <w:t xml:space="preserve">-</w:t>
      </w:r>
      <w:r>
        <w:rPr>
          <w:rStyle w:val="AttributeTok"/>
        </w:rPr>
        <w:t xml:space="preserve"> </w:t>
      </w:r>
      <w:r>
        <w:rPr>
          <w:rStyle w:val="StringTok"/>
        </w:rPr>
        <w:t xml:space="preserve">"migrasi cloud SAP Indonesia"</w:t>
      </w:r>
      <w:r>
        <w:br/>
      </w:r>
      <w:r>
        <w:rPr>
          <w:rStyle w:val="AttributeTok"/>
        </w:rPr>
        <w:t xml:space="preserve">  </w:t>
      </w:r>
      <w:r>
        <w:rPr>
          <w:rStyle w:val="KeywordTok"/>
        </w:rPr>
        <w:t xml:space="preserve">-</w:t>
      </w:r>
      <w:r>
        <w:rPr>
          <w:rStyle w:val="AttributeTok"/>
        </w:rPr>
        <w:t xml:space="preserve"> </w:t>
      </w:r>
      <w:r>
        <w:rPr>
          <w:rStyle w:val="StringTok"/>
        </w:rPr>
        <w:t xml:space="preserve">"SAP S/4HANA Cloud private edition"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"Tanggal akhir mainstream maintenance SAP ECC (2027), extended maintenance (2030), premi +2%/tahun, komitmen S/4HANA hingga 2040"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"https://www.snpgroup.com/en/resources/blog/greenfield-brownfield-bluefield/"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teknis brownfield, greenfield, BLUEFIELD® — trademark SNP Group; perbedaan SDT vs brownfield konvensional"</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"erp-migration-to-the-cloud-01"</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1492</w:t>
      </w:r>
    </w:p>
    <w:p>
      <w:r>
        <w:pict>
          <v:rect style="width:0;height:1.5pt" o:hralign="center" o:hrstd="t" o:hr="t"/>
        </w:pict>
      </w:r>
    </w:p>
    <w:bookmarkEnd w:id="16"/>
    <w:bookmarkStart w:id="33" w:name="Xa9f0694a89bff6de211f497ee5b8c7d7f8e03af"/>
    <w:p>
      <w:pPr>
        <w:pStyle w:val="Heading1"/>
      </w:pPr>
      <w:r>
        <w:t xml:space="preserve">Brownfield, Greenfield, atau Bluefield? Panduan Memilih Jalur Migrasi ERP ke Cloud</w:t>
      </w:r>
    </w:p>
    <w:p>
      <w:pPr>
        <w:pStyle w:val="FirstParagraph"/>
      </w:pPr>
      <w:r>
        <w:t xml:space="preserve">Banyak perusahaan pengguna SAP ECC yang sudah tahu mereka harus pindah ke cloud. Yang belum terjawab adalah pertanyaan berikutnya: pakai pendekatan apa? Brownfield, greenfield, dan bluefield masing-masing menjanjikan hal berbeda, dan memilih yang tidak cocok dengan kondisi bisnis bisa berarti proyek membengkak, kustomisasi bertahun-tahun hilang, atau sistem baru yang tidak jauh lebih baik dari yang lama. Artikel ini mengisi celah nyata: hampir semua tulisan Indonesia menjelaskan ketiga istilah itu, tapi tidak ada yang memberikan kerangka keputusan berbasis kondisi nyata bisnis seperti level kustomisasi, usia data, batas downtime, dan anggaran.</w:t>
      </w:r>
    </w:p>
    <w:p>
      <w:pPr>
        <w:pStyle w:val="BlockText"/>
      </w:pPr>
      <w:r>
        <w:rPr>
          <w:b/>
          <w:bCs/>
        </w:rPr>
        <w:t xml:space="preserve">Secara singkat:</w:t>
      </w:r>
      <w:r>
        <w:t xml:space="preserve"> </w:t>
      </w:r>
      <w:r>
        <w:rPr>
          <w:i/>
          <w:iCs/>
        </w:rPr>
        <w:t xml:space="preserve">ERP migration to the cloud</w:t>
      </w:r>
      <w:r>
        <w:t xml:space="preserve"> </w:t>
      </w:r>
      <w:r>
        <w:t xml:space="preserve">mengacu pada proses memindahkan sistem ERP on-premises (seperti SAP ECC) ke platform cloud, umumnya melalui tiga pendekatan:</w:t>
      </w:r>
      <w:r>
        <w:t xml:space="preserve"> </w:t>
      </w:r>
      <w:r>
        <w:rPr>
          <w:i/>
          <w:iCs/>
        </w:rPr>
        <w:t xml:space="preserve">brownfield</w:t>
      </w:r>
      <w:r>
        <w:t xml:space="preserve"> </w:t>
      </w:r>
      <w:r>
        <w:t xml:space="preserve">(konversi langsung yang mempertahankan data dan konfigurasi),</w:t>
      </w:r>
      <w:r>
        <w:t xml:space="preserve"> </w:t>
      </w:r>
      <w:r>
        <w:rPr>
          <w:i/>
          <w:iCs/>
        </w:rPr>
        <w:t xml:space="preserve">greenfield</w:t>
      </w:r>
      <w:r>
        <w:t xml:space="preserve"> </w:t>
      </w:r>
      <w:r>
        <w:t xml:space="preserve">(implementasi baru dari nol), atau</w:t>
      </w:r>
      <w:r>
        <w:t xml:space="preserve"> </w:t>
      </w:r>
      <w:r>
        <w:rPr>
          <w:i/>
          <w:iCs/>
        </w:rPr>
        <w:t xml:space="preserve">Selective Data Transition</w:t>
      </w:r>
      <w:r>
        <w:t xml:space="preserve"> </w:t>
      </w:r>
      <w:r>
        <w:t xml:space="preserve">/ bluefield (migrasi selektif yang menggabungkan kelebihan keduanya). Mainstream maintenance SAP ECC berakhir 31 Desember 2027.</w:t>
      </w:r>
    </w:p>
    <w:p>
      <w:pPr>
        <w:pStyle w:val="FirstParagraph"/>
      </w:pPr>
      <w:r>
        <w:rPr>
          <w:i/>
          <w:iCs/>
        </w:rPr>
        <w:t xml:space="preserve">[Image 01: Infografis tiga jalur migrasi paralel dari kotak</w:t>
      </w:r>
      <w:r>
        <w:rPr>
          <w:i/>
          <w:iCs/>
        </w:rPr>
        <w:t xml:space="preserve"> </w:t>
      </w:r>
      <w:r>
        <w:rPr>
          <w:i/>
          <w:iCs/>
        </w:rPr>
        <w:t xml:space="preserve">“SAP ECC On-Premises”</w:t>
      </w:r>
      <w:r>
        <w:rPr>
          <w:i/>
          <w:iCs/>
        </w:rPr>
        <w:t xml:space="preserve"> </w:t>
      </w:r>
      <w:r>
        <w:rPr>
          <w:i/>
          <w:iCs/>
        </w:rPr>
        <w:t xml:space="preserve">menuju</w:t>
      </w:r>
      <w:r>
        <w:rPr>
          <w:i/>
          <w:iCs/>
        </w:rPr>
        <w:t xml:space="preserve"> </w:t>
      </w:r>
      <w:r>
        <w:rPr>
          <w:i/>
          <w:iCs/>
        </w:rPr>
        <w:t xml:space="preserve">“SAP S/4HANA Cloud”</w:t>
      </w:r>
      <w:r>
        <w:rPr>
          <w:i/>
          <w:iCs/>
        </w:rPr>
        <w:t xml:space="preserve">, tiga jalur berlabel</w:t>
      </w:r>
      <w:r>
        <w:rPr>
          <w:i/>
          <w:iCs/>
        </w:rPr>
        <w:t xml:space="preserve"> </w:t>
      </w:r>
      <w:r>
        <w:rPr>
          <w:i/>
          <w:iCs/>
        </w:rPr>
        <w:t xml:space="preserve">“Brownfield / System Conversion”</w:t>
      </w:r>
      <w:r>
        <w:rPr>
          <w:i/>
          <w:iCs/>
        </w:rPr>
        <w:t xml:space="preserve">,</w:t>
      </w:r>
      <w:r>
        <w:rPr>
          <w:i/>
          <w:iCs/>
        </w:rPr>
        <w:t xml:space="preserve"> </w:t>
      </w:r>
      <w:r>
        <w:rPr>
          <w:i/>
          <w:iCs/>
        </w:rPr>
        <w:t xml:space="preserve">“Greenfield / New Implementation”</w:t>
      </w:r>
      <w:r>
        <w:rPr>
          <w:i/>
          <w:iCs/>
        </w:rPr>
        <w:t xml:space="preserve">,</w:t>
      </w:r>
      <w:r>
        <w:rPr>
          <w:i/>
          <w:iCs/>
        </w:rPr>
        <w:t xml:space="preserve"> </w:t>
      </w:r>
      <w:r>
        <w:rPr>
          <w:i/>
          <w:iCs/>
        </w:rPr>
        <w:t xml:space="preserve">“Bluefield / Selective Data Transition”</w:t>
      </w:r>
      <w:r>
        <w:rPr>
          <w:i/>
          <w:iCs/>
        </w:rPr>
        <w:t xml:space="preserve"> </w:t>
      </w:r>
      <w:r>
        <w:rPr>
          <w:i/>
          <w:iCs/>
        </w:rPr>
        <w:t xml:space="preserve">dengan ikon pembeda (kunci inggris untuk brownfield, benih untuk greenfield, pinset untuk bluefield), gaya korporat biru-abu-putih, teks Bahasa Indonesia]</w:t>
      </w:r>
    </w:p>
    <w:bookmarkStart w:id="18" w:name="Xa00c2e7bcde3eac38914287a0813f39f993d678"/>
    <w:p>
      <w:pPr>
        <w:pStyle w:val="Heading2"/>
      </w:pPr>
      <w:r>
        <w:t xml:space="preserve">Tiga Jalur Migrasi ERP ke Cloud: Brownfield, Greenfield, dan Bluefield</w:t>
      </w:r>
    </w:p>
    <w:p>
      <w:pPr>
        <w:pStyle w:val="FirstParagraph"/>
      </w:pPr>
      <w:r>
        <w:rPr>
          <w:i/>
          <w:iCs/>
        </w:rPr>
        <w:t xml:space="preserve">Brownfield</w:t>
      </w:r>
      <w:r>
        <w:t xml:space="preserve">, atau</w:t>
      </w:r>
      <w:r>
        <w:t xml:space="preserve"> </w:t>
      </w:r>
      <w:r>
        <w:rPr>
          <w:i/>
          <w:iCs/>
        </w:rPr>
        <w:t xml:space="preserve">system conversion</w:t>
      </w:r>
      <w:r>
        <w:t xml:space="preserve"> </w:t>
      </w:r>
      <w:r>
        <w:t xml:space="preserve">dalam terminologi SAP resmi, mengonversi sistem ECC yang ada secara langsung ke SAP S/4HANA. Semua data historis, konfigurasi, dan kustomisasi dipertahankan; tidak ada yang dibuang. Downtime tipikal berkisar dari beberapa hari hingga beberapa minggu, tergantung volume data dan kompleksitas sistem.</w:t>
      </w:r>
    </w:p>
    <w:p>
      <w:pPr>
        <w:pStyle w:val="BodyText"/>
      </w:pPr>
      <w:r>
        <w:rPr>
          <w:i/>
          <w:iCs/>
        </w:rPr>
        <w:t xml:space="preserve">Greenfield</w:t>
      </w:r>
      <w:r>
        <w:t xml:space="preserve">, atau</w:t>
      </w:r>
      <w:r>
        <w:t xml:space="preserve"> </w:t>
      </w:r>
      <w:r>
        <w:rPr>
          <w:i/>
          <w:iCs/>
        </w:rPr>
        <w:t xml:space="preserve">new implementation</w:t>
      </w:r>
      <w:r>
        <w:t xml:space="preserve">, membangun S/4HANA dari nol. Proses bisnis didesain ulang menggunakan SAP Best Practices; hanya data master dan saldo awal yang dipindahkan. Jalur ini cocok untuk perusahaan yang ingin</w:t>
      </w:r>
      <w:r>
        <w:t xml:space="preserve"> </w:t>
      </w:r>
      <w:r>
        <w:t xml:space="preserve">“</w:t>
      </w:r>
      <w:r>
        <w:rPr>
          <w:i/>
          <w:iCs/>
        </w:rPr>
        <w:t xml:space="preserve">clean slate</w:t>
      </w:r>
      <w:r>
        <w:t xml:space="preserve">”</w:t>
      </w:r>
      <w:r>
        <w:t xml:space="preserve"> </w:t>
      </w:r>
      <w:r>
        <w:t xml:space="preserve">dan bersedia menanggung proses redesain yang lebih panjang. GROW with SAP adalah opsi populer untuk greenfield ke public edition; RISE with SAP mendukung greenfield ke private edition bagi enterprise.</w:t>
      </w:r>
    </w:p>
    <w:p>
      <w:pPr>
        <w:pStyle w:val="BodyText"/>
      </w:pPr>
      <w:r>
        <w:rPr>
          <w:i/>
          <w:iCs/>
        </w:rPr>
        <w:t xml:space="preserve">Bluefield</w:t>
      </w:r>
      <w:r>
        <w:t xml:space="preserve"> </w:t>
      </w:r>
      <w:r>
        <w:t xml:space="preserve">adalah istilah yang dipopulerkan oleh SNP Group melalui platform CrystalBridge-nya, lalu dikenal luas sebagai BLUEFIELD® (merek dagang terdaftar SNP Group). Istilah resmi SAP untuk konsep yang sama adalah</w:t>
      </w:r>
      <w:r>
        <w:t xml:space="preserve"> </w:t>
      </w:r>
      <w:r>
        <w:rPr>
          <w:i/>
          <w:iCs/>
        </w:rPr>
        <w:t xml:space="preserve">Selective Data Transition</w:t>
      </w:r>
      <w:r>
        <w:t xml:space="preserve"> </w:t>
      </w:r>
      <w:r>
        <w:t xml:space="preserve">(SDT): hanya data, proses, dan kustomisasi yang masih relevan yang dibawa ke sistem baru. Sistem lama tetap berjalan selama cutover, mengurangi risiko downtime.</w:t>
      </w:r>
    </w:p>
    <w:p>
      <w:pPr>
        <w:pStyle w:val="BodyText"/>
      </w:pPr>
      <w:r>
        <w:rPr>
          <w:b/>
          <w:bCs/>
        </w:rPr>
        <w:t xml:space="preserve">BACA JUGA:</w:t>
      </w:r>
      <w:r>
        <w:t xml:space="preserve"> </w:t>
      </w:r>
      <w:hyperlink r:id="rId17">
        <w:r>
          <w:rPr>
            <w:rStyle w:val="Hyperlink"/>
          </w:rPr>
          <w:t xml:space="preserve">ERP migration to the cloud</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Brownfield</w:t>
            </w:r>
          </w:p>
        </w:tc>
        <w:tc>
          <w:tcPr/>
          <w:p>
            <w:pPr>
              <w:pStyle w:val="Compact"/>
            </w:pPr>
            <w:r>
              <w:t xml:space="preserve">Greenfield</w:t>
            </w:r>
          </w:p>
        </w:tc>
        <w:tc>
          <w:tcPr/>
          <w:p>
            <w:pPr>
              <w:pStyle w:val="Compact"/>
            </w:pPr>
            <w:r>
              <w:t xml:space="preserve">Bluefield / SDT</w:t>
            </w:r>
          </w:p>
        </w:tc>
      </w:tr>
      <w:tr>
        <w:tc>
          <w:tcPr/>
          <w:p>
            <w:pPr>
              <w:pStyle w:val="Compact"/>
            </w:pPr>
            <w:r>
              <w:t xml:space="preserve">Yang dibawa</w:t>
            </w:r>
          </w:p>
        </w:tc>
        <w:tc>
          <w:tcPr/>
          <w:p>
            <w:pPr>
              <w:pStyle w:val="Compact"/>
            </w:pPr>
            <w:r>
              <w:t xml:space="preserve">Semua data + konfigurasi</w:t>
            </w:r>
          </w:p>
        </w:tc>
        <w:tc>
          <w:tcPr/>
          <w:p>
            <w:pPr>
              <w:pStyle w:val="Compact"/>
            </w:pPr>
            <w:r>
              <w:t xml:space="preserve">Hanya data master (pilihan)</w:t>
            </w:r>
          </w:p>
        </w:tc>
        <w:tc>
          <w:tcPr/>
          <w:p>
            <w:pPr>
              <w:pStyle w:val="Compact"/>
            </w:pPr>
            <w:r>
              <w:t xml:space="preserve">Data &amp; proses yang dipilih</w:t>
            </w:r>
          </w:p>
        </w:tc>
      </w:tr>
      <w:tr>
        <w:tc>
          <w:tcPr/>
          <w:p>
            <w:pPr>
              <w:pStyle w:val="Compact"/>
            </w:pPr>
            <w:r>
              <w:t xml:space="preserve">Durasi tipikal</w:t>
            </w:r>
          </w:p>
        </w:tc>
        <w:tc>
          <w:tcPr/>
          <w:p>
            <w:pPr>
              <w:pStyle w:val="Compact"/>
            </w:pPr>
            <w:r>
              <w:t xml:space="preserve">6–10 bulan</w:t>
            </w:r>
          </w:p>
        </w:tc>
        <w:tc>
          <w:tcPr/>
          <w:p>
            <w:pPr>
              <w:pStyle w:val="Compact"/>
            </w:pPr>
            <w:r>
              <w:t xml:space="preserve">12–18 bulan</w:t>
            </w:r>
          </w:p>
        </w:tc>
        <w:tc>
          <w:tcPr/>
          <w:p>
            <w:pPr>
              <w:pStyle w:val="Compact"/>
            </w:pPr>
            <w:r>
              <w:t xml:space="preserve">9–18 bulan</w:t>
            </w:r>
          </w:p>
        </w:tc>
      </w:tr>
      <w:tr>
        <w:tc>
          <w:tcPr/>
          <w:p>
            <w:pPr>
              <w:pStyle w:val="Compact"/>
            </w:pPr>
            <w:r>
              <w:t xml:space="preserve">Kompleksitas teknis</w:t>
            </w:r>
          </w:p>
        </w:tc>
        <w:tc>
          <w:tcPr/>
          <w:p>
            <w:pPr>
              <w:pStyle w:val="Compact"/>
            </w:pPr>
            <w:r>
              <w:t xml:space="preserve">Tinggi (custom code analysis wajib)</w:t>
            </w:r>
          </w:p>
        </w:tc>
        <w:tc>
          <w:tcPr/>
          <w:p>
            <w:pPr>
              <w:pStyle w:val="Compact"/>
            </w:pPr>
            <w:r>
              <w:t xml:space="preserve">Sedang (redesain proses)</w:t>
            </w:r>
          </w:p>
        </w:tc>
        <w:tc>
          <w:tcPr/>
          <w:p>
            <w:pPr>
              <w:pStyle w:val="Compact"/>
            </w:pPr>
            <w:r>
              <w:t xml:space="preserve">Tinggi (seleksi data ketat)</w:t>
            </w:r>
          </w:p>
        </w:tc>
      </w:tr>
      <w:tr>
        <w:tc>
          <w:tcPr/>
          <w:p>
            <w:pPr>
              <w:pStyle w:val="Compact"/>
            </w:pPr>
            <w:r>
              <w:t xml:space="preserve">Biaya relatif</w:t>
            </w:r>
          </w:p>
        </w:tc>
        <w:tc>
          <w:tcPr/>
          <w:p>
            <w:pPr>
              <w:pStyle w:val="Compact"/>
            </w:pPr>
            <w:r>
              <w:t xml:space="preserve">Lebih rendah di awal</w:t>
            </w:r>
          </w:p>
        </w:tc>
        <w:tc>
          <w:tcPr/>
          <w:p>
            <w:pPr>
              <w:pStyle w:val="Compact"/>
            </w:pPr>
            <w:r>
              <w:t xml:space="preserve">Lebih tinggi</w:t>
            </w:r>
          </w:p>
        </w:tc>
        <w:tc>
          <w:tcPr/>
          <w:p>
            <w:pPr>
              <w:pStyle w:val="Compact"/>
            </w:pPr>
            <w:r>
              <w:t xml:space="preserve">Sedang–tinggi</w:t>
            </w:r>
          </w:p>
        </w:tc>
      </w:tr>
      <w:tr>
        <w:tc>
          <w:tcPr/>
          <w:p>
            <w:pPr>
              <w:pStyle w:val="Compact"/>
            </w:pPr>
            <w:r>
              <w:t xml:space="preserve">Adopsi global (ISG 2026)*</w:t>
            </w:r>
          </w:p>
        </w:tc>
        <w:tc>
          <w:tcPr/>
          <w:p>
            <w:pPr>
              <w:pStyle w:val="Compact"/>
            </w:pPr>
            <w:r>
              <w:t xml:space="preserve">~34%</w:t>
            </w:r>
          </w:p>
        </w:tc>
        <w:tc>
          <w:tcPr/>
          <w:p>
            <w:pPr>
              <w:pStyle w:val="Compact"/>
            </w:pPr>
            <w:r>
              <w:t xml:space="preserve">~18%</w:t>
            </w:r>
          </w:p>
        </w:tc>
        <w:tc>
          <w:tcPr/>
          <w:p>
            <w:pPr>
              <w:pStyle w:val="Compact"/>
            </w:pPr>
            <w:r>
              <w:t xml:space="preserve">~48%</w:t>
            </w:r>
          </w:p>
        </w:tc>
      </w:tr>
    </w:tbl>
    <w:p>
      <w:pPr>
        <w:pStyle w:val="BodyText"/>
      </w:pPr>
      <w:r>
        <w:rPr>
          <w:i/>
          <w:iCs/>
        </w:rPr>
        <w:t xml:space="preserve">*Berdasarkan penelitian ISG 2026 yang dikutip dalam SoftwareSeni dan intelliswat.com, bukan langsung dari laporan ISG.</w:t>
      </w:r>
    </w:p>
    <w:bookmarkEnd w:id="18"/>
    <w:bookmarkStart w:id="19" w:name="Xb44666fb1ee31da02956ee9029b5d2099ac4943"/>
    <w:p>
      <w:pPr>
        <w:pStyle w:val="Heading2"/>
      </w:pPr>
      <w:r>
        <w:t xml:space="preserve">Bagaimana Menentukan Jalur Migrasi yang Tepat untuk Bisnis Anda?</w:t>
      </w:r>
    </w:p>
    <w:p>
      <w:pPr>
        <w:pStyle w:val="FirstParagraph"/>
      </w:pPr>
      <w:r>
        <w:t xml:space="preserve">Tidak ada pendekatan yang secara universal lebih baik. Yang ada adalah pendekatan yang cocok dengan empat kondisi bisnis spesifik:</w:t>
      </w:r>
    </w:p>
    <w:p>
      <w:pPr>
        <w:pStyle w:val="BodyText"/>
      </w:pPr>
      <w:r>
        <w:rPr>
          <w:b/>
          <w:bCs/>
        </w:rPr>
        <w:t xml:space="preserve">1. Level kustomisasi SAP ECC.</w:t>
      </w:r>
      <w:r>
        <w:t xml:space="preserve"> </w:t>
      </w:r>
      <w:r>
        <w:t xml:space="preserve">Jika lebih dari 30% proses dikustomisasi (kode ABAP sendiri, tabel Z, workflow non-standar), brownfield atau bluefield lebih masuk akal. Greenfield efisien hanya jika proses sudah cukup standar dan tim siap redesain menyeluruh.</w:t>
      </w:r>
    </w:p>
    <w:p>
      <w:pPr>
        <w:pStyle w:val="BodyText"/>
      </w:pPr>
      <w:r>
        <w:rPr>
          <w:b/>
          <w:bCs/>
        </w:rPr>
        <w:t xml:space="preserve">2. Usia dan volume data transaksi.</w:t>
      </w:r>
      <w:r>
        <w:t xml:space="preserve"> </w:t>
      </w:r>
      <w:r>
        <w:t xml:space="preserve">Perusahaan dengan data transaksi lebih dari 10 tahun atau audit trail yang diwajibkan regulasi perlu membawa data historisnya. Brownfield membawa semuanya; bluefield memilih yang relevan; greenfield hanya membawa data master dan saldo awal.</w:t>
      </w:r>
    </w:p>
    <w:p>
      <w:pPr>
        <w:pStyle w:val="BodyText"/>
      </w:pPr>
      <w:r>
        <w:rPr>
          <w:b/>
          <w:bCs/>
        </w:rPr>
        <w:t xml:space="preserve">3. Toleransi downtime.</w:t>
      </w:r>
      <w:r>
        <w:t xml:space="preserve"> </w:t>
      </w:r>
      <w:r>
        <w:t xml:space="preserve">Sistem 24/7 punya pilihan berbeda dari perusahaan yang bisa menutup sistem beberapa hari untuk cutover. Brownfield dengan teknik</w:t>
      </w:r>
      <w:r>
        <w:t xml:space="preserve"> </w:t>
      </w:r>
      <w:r>
        <w:rPr>
          <w:i/>
          <w:iCs/>
        </w:rPr>
        <w:t xml:space="preserve">Near-Zero Downtime</w:t>
      </w:r>
      <w:r>
        <w:t xml:space="preserve"> </w:t>
      </w:r>
      <w:r>
        <w:t xml:space="preserve">(NZDT) mempersingkat window downtime; bluefield memungkinkan sistem lama tetap aktif lebih lama. Catatan: NZDT meminimalkan, bukan menghilangkan downtime.</w:t>
      </w:r>
    </w:p>
    <w:p>
      <w:pPr>
        <w:pStyle w:val="BodyText"/>
      </w:pPr>
      <w:r>
        <w:rPr>
          <w:b/>
          <w:bCs/>
        </w:rPr>
        <w:t xml:space="preserve">4. Anggaran dan batas waktu.</w:t>
      </w:r>
      <w:r>
        <w:t xml:space="preserve"> </w:t>
      </w:r>
      <w:r>
        <w:t xml:space="preserve">Anggaran terbatas dan timeline ketat mengarah ke brownfield (asumsi data cukup bersih). Greenfield butuh anggaran lebih besar untuk redesain proses. Bluefield berada di tengah, tapi membutuhkan biaya tambahan untuk tools SDT.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Kondisi bisnis</w:t>
            </w:r>
          </w:p>
        </w:tc>
        <w:tc>
          <w:tcPr/>
          <w:p>
            <w:pPr>
              <w:pStyle w:val="Compact"/>
            </w:pPr>
            <w:r>
              <w:t xml:space="preserve">Pertimbangkan…</w:t>
            </w:r>
          </w:p>
        </w:tc>
      </w:tr>
      <w:tr>
        <w:tc>
          <w:tcPr/>
          <w:p>
            <w:pPr>
              <w:pStyle w:val="Compact"/>
            </w:pPr>
            <w:r>
              <w:t xml:space="preserve">Kustomisasi ECC sangat tinggi (&gt;30% proses)</w:t>
            </w:r>
          </w:p>
        </w:tc>
        <w:tc>
          <w:tcPr/>
          <w:p>
            <w:pPr>
              <w:pStyle w:val="Compact"/>
            </w:pPr>
            <w:r>
              <w:t xml:space="preserve">Brownfield atau Bluefield</w:t>
            </w:r>
          </w:p>
        </w:tc>
      </w:tr>
      <w:tr>
        <w:tc>
          <w:tcPr/>
          <w:p>
            <w:pPr>
              <w:pStyle w:val="Compact"/>
            </w:pPr>
            <w:r>
              <w:t xml:space="preserve">Proses sudah cukup standar, ingin</w:t>
            </w:r>
            <w:r>
              <w:t xml:space="preserve"> </w:t>
            </w:r>
            <w:r>
              <w:t xml:space="preserve">“</w:t>
            </w:r>
            <w:r>
              <w:rPr>
                <w:i/>
                <w:iCs/>
              </w:rPr>
              <w:t xml:space="preserve">clean slate</w:t>
            </w:r>
            <w:r>
              <w:t xml:space="preserve">”</w:t>
            </w:r>
          </w:p>
        </w:tc>
        <w:tc>
          <w:tcPr/>
          <w:p>
            <w:pPr>
              <w:pStyle w:val="Compact"/>
            </w:pPr>
            <w:r>
              <w:t xml:space="preserve">Greenfield</w:t>
            </w:r>
          </w:p>
        </w:tc>
      </w:tr>
      <w:tr>
        <w:tc>
          <w:tcPr/>
          <w:p>
            <w:pPr>
              <w:pStyle w:val="Compact"/>
            </w:pPr>
            <w:r>
              <w:t xml:space="preserve">Data historis &gt;10 tahun, audit trail wajib</w:t>
            </w:r>
          </w:p>
        </w:tc>
        <w:tc>
          <w:tcPr/>
          <w:p>
            <w:pPr>
              <w:pStyle w:val="Compact"/>
            </w:pPr>
            <w:r>
              <w:t xml:space="preserve">Brownfield atau Bluefield</w:t>
            </w:r>
          </w:p>
        </w:tc>
      </w:tr>
      <w:tr>
        <w:tc>
          <w:tcPr/>
          <w:p>
            <w:pPr>
              <w:pStyle w:val="Compact"/>
            </w:pPr>
            <w:r>
              <w:t xml:space="preserve">Toleransi downtime sangat rendah (sistem 24/7)</w:t>
            </w:r>
          </w:p>
        </w:tc>
        <w:tc>
          <w:tcPr/>
          <w:p>
            <w:pPr>
              <w:pStyle w:val="Compact"/>
            </w:pPr>
            <w:r>
              <w:t xml:space="preserve">Brownfield + NZDT, atau Bluefield</w:t>
            </w:r>
          </w:p>
        </w:tc>
      </w:tr>
      <w:tr>
        <w:tc>
          <w:tcPr/>
          <w:p>
            <w:pPr>
              <w:pStyle w:val="Compact"/>
            </w:pPr>
            <w:r>
              <w:t xml:space="preserve">Anggaran terbatas, timeline ketat</w:t>
            </w:r>
          </w:p>
        </w:tc>
        <w:tc>
          <w:tcPr/>
          <w:p>
            <w:pPr>
              <w:pStyle w:val="Compact"/>
            </w:pPr>
            <w:r>
              <w:t xml:space="preserve">Brownfield (jika data relatif bersih)</w:t>
            </w:r>
          </w:p>
        </w:tc>
      </w:tr>
      <w:tr>
        <w:tc>
          <w:tcPr/>
          <w:p>
            <w:pPr>
              <w:pStyle w:val="Compact"/>
            </w:pPr>
            <w:r>
              <w:t xml:space="preserve">Ingin transformasi proses besar, anggaran memadai</w:t>
            </w:r>
          </w:p>
        </w:tc>
        <w:tc>
          <w:tcPr/>
          <w:p>
            <w:pPr>
              <w:pStyle w:val="Compact"/>
            </w:pPr>
            <w:r>
              <w:t xml:space="preserve">Greenfield</w:t>
            </w:r>
          </w:p>
        </w:tc>
      </w:tr>
    </w:tbl>
    <w:bookmarkEnd w:id="19"/>
    <w:bookmarkStart w:id="21" w:name="Xa5174f03186cc364fdbbadf27085c8c3c4efbe4"/>
    <w:p>
      <w:pPr>
        <w:pStyle w:val="Heading2"/>
      </w:pPr>
      <w:r>
        <w:t xml:space="preserve">Perbandingan Nyata: Kelebihan dan Risiko yang Sering Tidak Disebutkan</w:t>
      </w:r>
    </w:p>
    <w:p>
      <w:pPr>
        <w:pStyle w:val="FirstParagraph"/>
      </w:pPr>
      <w:r>
        <w:t xml:space="preserve">Brownfield terdengar seperti</w:t>
      </w:r>
      <w:r>
        <w:t xml:space="preserve"> </w:t>
      </w:r>
      <w:r>
        <w:t xml:space="preserve">“pilihan aman”</w:t>
      </w:r>
      <w:r>
        <w:t xml:space="preserve">. Ini miskonsepsi yang mahal.</w:t>
      </w:r>
      <w:r>
        <w:t xml:space="preserve"> </w:t>
      </w:r>
      <w:r>
        <w:rPr>
          <w:i/>
          <w:iCs/>
        </w:rPr>
        <w:t xml:space="preserve">Custom code analysis</w:t>
      </w:r>
      <w:r>
        <w:t xml:space="preserve"> </w:t>
      </w:r>
      <w:r>
        <w:t xml:space="preserve">sebelum konversi bisa mengungkap ratusan hingga ribuan program ABAP yang perlu diremediasi. Kode yang bergantung pada tabel atau fungsi yang dihapus di S/4HANA harus ditulis ulang. Tanpa remediasi yang benar, brownfield justru membawa</w:t>
      </w:r>
      <w:r>
        <w:t xml:space="preserve"> </w:t>
      </w:r>
      <w:r>
        <w:rPr>
          <w:i/>
          <w:iCs/>
        </w:rPr>
        <w:t xml:space="preserve">technical debt</w:t>
      </w:r>
      <w:r>
        <w:t xml:space="preserve"> </w:t>
      </w:r>
      <w:r>
        <w:t xml:space="preserve">ECC ke dalam sistem baru, mengalahkan tujuan migrasi itu sendiri.</w:t>
      </w:r>
    </w:p>
    <w:p>
      <w:pPr>
        <w:pStyle w:val="BodyText"/>
      </w:pPr>
      <w:r>
        <w:t xml:space="preserve">Greenfield menawarkan kesempatan</w:t>
      </w:r>
      <w:r>
        <w:t xml:space="preserve"> </w:t>
      </w:r>
      <w:r>
        <w:t xml:space="preserve">“mulai bersih”</w:t>
      </w:r>
      <w:r>
        <w:t xml:space="preserve">, tapi biaya redesain proses bisnis sering diremehkan. Bukan hanya biaya teknologi: ini biaya perubahan berupa pelatihan ulang pengguna, penyesuaian SOP, dan risiko disruption bisnis selama implementasi 12–18 bulan. Kasus industri global menunjukkan bahwa bluefield/SDT tumbuh menjadi pendekatan terpopuler (sekitar 48% proyek per penelitian ISG 2026 yang dikutip dalam sumber industri), justru karena banyak perusahaan menemukan nilai di tengah: tidak ingin membuang data bertahun-tahun, tapi juga tidak ingin membawa semua kekacauan lama.</w:t>
      </w:r>
    </w:p>
    <w:p>
      <w:pPr>
        <w:pStyle w:val="BodyText"/>
      </w:pPr>
      <w:r>
        <w:t xml:space="preserve">Satu angka yang perlu disimpan: berdasarkan penelitian ISG 2026 yang dikutip industri, 60% proyek migrasi SAP S/4HANA melebihi anggaran atau jadwal, terlepas dari pendekatan yang dipilih. Ini bukan argumen untuk menghindari migrasi, melainkan argumen untuk perencanaan yang lebih matang dan pemilihan mitra yang tepat.</w:t>
      </w:r>
    </w:p>
    <w:p>
      <w:pPr>
        <w:pStyle w:val="BodyText"/>
      </w:pPr>
      <w:r>
        <w:t xml:space="preserve">Layer data juga sering ikut dikonsolidasi saat migrasi, dan ini perlu direncanakan sejak awal. Perusahaan yang memindahkan ECC ke cloud sering kali sekaligus menata ulang arsitektur analitiknya; bacaan tentang</w:t>
      </w:r>
      <w:r>
        <w:t xml:space="preserve"> </w:t>
      </w:r>
      <w:hyperlink r:id="rId20">
        <w:r>
          <w:rPr>
            <w:rStyle w:val="Hyperlink"/>
          </w:rPr>
          <w:t xml:space="preserve">data warehouse solutions</w:t>
        </w:r>
      </w:hyperlink>
      <w:r>
        <w:t xml:space="preserve"> </w:t>
      </w:r>
      <w:r>
        <w:t xml:space="preserve">bisa membantu merencanakan komponen tersebut.</w:t>
      </w:r>
    </w:p>
    <w:p>
      <w:pPr>
        <w:pStyle w:val="BodyText"/>
      </w:pPr>
      <w:r>
        <w:rPr>
          <w:i/>
          <w:iCs/>
        </w:rPr>
        <w:t xml:space="preserve">[Image 02: Matriks visual dua dimensi dengan sumbu X</w:t>
      </w:r>
      <w:r>
        <w:rPr>
          <w:i/>
          <w:iCs/>
        </w:rPr>
        <w:t xml:space="preserve"> </w:t>
      </w:r>
      <w:r>
        <w:rPr>
          <w:i/>
          <w:iCs/>
        </w:rPr>
        <w:t xml:space="preserve">“Level Kustomisasi ECC”</w:t>
      </w:r>
      <w:r>
        <w:rPr>
          <w:i/>
          <w:iCs/>
        </w:rPr>
        <w:t xml:space="preserve"> </w:t>
      </w:r>
      <w:r>
        <w:rPr>
          <w:i/>
          <w:iCs/>
        </w:rPr>
        <w:t xml:space="preserve">(rendah ke tinggi) dan sumbu Y</w:t>
      </w:r>
      <w:r>
        <w:rPr>
          <w:i/>
          <w:iCs/>
        </w:rPr>
        <w:t xml:space="preserve"> </w:t>
      </w:r>
      <w:r>
        <w:rPr>
          <w:i/>
          <w:iCs/>
        </w:rPr>
        <w:t xml:space="preserve">“Volume Data Historis”</w:t>
      </w:r>
      <w:r>
        <w:rPr>
          <w:i/>
          <w:iCs/>
        </w:rPr>
        <w:t xml:space="preserve"> </w:t>
      </w:r>
      <w:r>
        <w:rPr>
          <w:i/>
          <w:iCs/>
        </w:rPr>
        <w:t xml:space="preserve">(rendah ke tinggi), dengan tiga zona berwarna: zona kiri-bawah</w:t>
      </w:r>
      <w:r>
        <w:rPr>
          <w:i/>
          <w:iCs/>
        </w:rPr>
        <w:t xml:space="preserve"> </w:t>
      </w:r>
      <w:r>
        <w:rPr>
          <w:i/>
          <w:iCs/>
        </w:rPr>
        <w:t xml:space="preserve">“Greenfield”</w:t>
      </w:r>
      <w:r>
        <w:rPr>
          <w:i/>
          <w:iCs/>
        </w:rPr>
        <w:t xml:space="preserve"> </w:t>
      </w:r>
      <w:r>
        <w:rPr>
          <w:i/>
          <w:iCs/>
        </w:rPr>
        <w:t xml:space="preserve">(hijau), zona kanan-atas</w:t>
      </w:r>
      <w:r>
        <w:rPr>
          <w:i/>
          <w:iCs/>
        </w:rPr>
        <w:t xml:space="preserve"> </w:t>
      </w:r>
      <w:r>
        <w:rPr>
          <w:i/>
          <w:iCs/>
        </w:rPr>
        <w:t xml:space="preserve">“Brownfield”</w:t>
      </w:r>
      <w:r>
        <w:rPr>
          <w:i/>
          <w:iCs/>
        </w:rPr>
        <w:t xml:space="preserve"> </w:t>
      </w:r>
      <w:r>
        <w:rPr>
          <w:i/>
          <w:iCs/>
        </w:rPr>
        <w:t xml:space="preserve">(biru), zona tengah</w:t>
      </w:r>
      <w:r>
        <w:rPr>
          <w:i/>
          <w:iCs/>
        </w:rPr>
        <w:t xml:space="preserve"> </w:t>
      </w:r>
      <w:r>
        <w:rPr>
          <w:i/>
          <w:iCs/>
        </w:rPr>
        <w:t xml:space="preserve">“Bluefield / SDT”</w:t>
      </w:r>
      <w:r>
        <w:rPr>
          <w:i/>
          <w:iCs/>
        </w:rPr>
        <w:t xml:space="preserve"> </w:t>
      </w:r>
      <w:r>
        <w:rPr>
          <w:i/>
          <w:iCs/>
        </w:rPr>
        <w:t xml:space="preserve">(ungu), ikon perusahaan kecil dan enterprise sebagai contoh posisi, teks Bahasa Indonesia, gaya infografis korporat]</w:t>
      </w:r>
    </w:p>
    <w:bookmarkEnd w:id="21"/>
    <w:bookmarkStart w:id="22" w:name="kapan-bluefield-bukan-pilihan-terbaik"/>
    <w:p>
      <w:pPr>
        <w:pStyle w:val="Heading2"/>
      </w:pPr>
      <w:r>
        <w:t xml:space="preserve">Kapan Bluefield BUKAN Pilihan Terbaik</w:t>
      </w:r>
    </w:p>
    <w:p>
      <w:pPr>
        <w:pStyle w:val="FirstParagraph"/>
      </w:pPr>
      <w:r>
        <w:t xml:space="preserve">Bagian ini jarang dibahas, padahal justru di sini kejujuran membangun kepercayaan.</w:t>
      </w:r>
    </w:p>
    <w:p>
      <w:pPr>
        <w:pStyle w:val="BodyText"/>
      </w:pPr>
      <w:r>
        <w:t xml:space="preserve">Bluefield/SDT menambah kompleksitas yang tidak selalu sepadan. Ada tiga kondisi di mana pendekatan lain lebih efisien:</w:t>
      </w:r>
    </w:p>
    <w:p>
      <w:pPr>
        <w:pStyle w:val="Compact"/>
        <w:numPr>
          <w:ilvl w:val="0"/>
          <w:numId w:val="1001"/>
        </w:numPr>
      </w:pPr>
      <w:r>
        <w:rPr>
          <w:b/>
          <w:bCs/>
        </w:rPr>
        <w:t xml:space="preserve">Data volume kecil dan proses sudah sangat standar.</w:t>
      </w:r>
      <w:r>
        <w:t xml:space="preserve"> </w:t>
      </w:r>
      <w:r>
        <w:t xml:space="preserve">Jika sistem ECC Anda relatif bersih, belum terlalu lama berjalan, dan tidak banyak kustomisasi, biaya tambahan untuk tools SDT (seperti CrystalBridge atau SAP tooling untuk SDT) tidak sepadan. Greenfield menjadi lebih efisien.</w:t>
      </w:r>
    </w:p>
    <w:p>
      <w:pPr>
        <w:pStyle w:val="Compact"/>
        <w:numPr>
          <w:ilvl w:val="0"/>
          <w:numId w:val="1001"/>
        </w:numPr>
      </w:pPr>
      <w:r>
        <w:rPr>
          <w:b/>
          <w:bCs/>
        </w:rPr>
        <w:t xml:space="preserve">Anggaran sangat terbatas.</w:t>
      </w:r>
      <w:r>
        <w:t xml:space="preserve"> </w:t>
      </w:r>
      <w:r>
        <w:t xml:space="preserve">Tools SDT menambah lini biaya tersendiri. Jika anggaran ketat dan data yang perlu dibawa tidak terlalu kompleks, brownfield bisa menjadi pilihan lebih hemat.</w:t>
      </w:r>
    </w:p>
    <w:p>
      <w:pPr>
        <w:pStyle w:val="Compact"/>
        <w:numPr>
          <w:ilvl w:val="0"/>
          <w:numId w:val="1001"/>
        </w:numPr>
      </w:pPr>
      <w:r>
        <w:rPr>
          <w:b/>
          <w:bCs/>
        </w:rPr>
        <w:t xml:space="preserve">Governance data internal lemah.</w:t>
      </w:r>
      <w:r>
        <w:t xml:space="preserve"> </w:t>
      </w:r>
      <w:r>
        <w:t xml:space="preserve">SDT menuntut keputusan seleksi data yang sangat terstruktur: tim perlu mendefinisikan dengan jelas data dan proses mana yang</w:t>
      </w:r>
      <w:r>
        <w:t xml:space="preserve"> </w:t>
      </w:r>
      <w:r>
        <w:t xml:space="preserve">“layak dibawa”</w:t>
      </w:r>
      <w:r>
        <w:t xml:space="preserve">. Tanpa governance yang kuat, proses seleksi ini bisa memakan waktu lebih lama dari yang diperkirakan dan menjadi bottleneck proyek.</w:t>
      </w:r>
    </w:p>
    <w:p>
      <w:pPr>
        <w:pStyle w:val="FirstParagraph"/>
      </w:pPr>
      <w:r>
        <w:t xml:space="preserve">Demikian juga greenfield: bukan pilihan terbaik jika kustomisasi ECC Anda sangat tinggi dan spesifik-industri, atau jika tim tidak siap untuk redesain proses menyeluruh. Migrasi yang dipaksakan ke greenfield di kondisi seperti itu sering berakhir dengan</w:t>
      </w:r>
      <w:r>
        <w:t xml:space="preserve"> </w:t>
      </w:r>
      <w:r>
        <w:t xml:space="preserve">“greenfield yang diisi kembali kustomisasi lama”</w:t>
      </w:r>
      <w:r>
        <w:t xml:space="preserve">, yang justru lebih mahal dan lebih rumit.</w:t>
      </w:r>
    </w:p>
    <w:bookmarkEnd w:id="22"/>
    <w:bookmarkStart w:id="24" w:name="X191b4fa16830e205b7482a962f9a2d75ad7bc31"/>
    <w:p>
      <w:pPr>
        <w:pStyle w:val="Heading2"/>
      </w:pPr>
      <w:r>
        <w:t xml:space="preserve">SAP ECC 2027: Mengapa Keputusan Jalur Migrasi Harus Diambil Sekarang</w:t>
      </w:r>
    </w:p>
    <w:p>
      <w:pPr>
        <w:pStyle w:val="FirstParagraph"/>
      </w:pPr>
      <w:r>
        <w:t xml:space="preserve">Tekanan waktu ini nyata dan tidak bisa diabaikan. Per SAP Support Portal, mainstream maintenance untuk SAP ECC (Enhancement Package 6–8, mayoritas instalasi) berakhir 31 Desember 2027. Extended maintenance tersedia 2028–2030 bagi yang memilih opt-in, dengan premi +2 percentage point per tahun di atas tarif maintenance standar. Setelah 2030, hanya</w:t>
      </w:r>
      <w:r>
        <w:t xml:space="preserve"> </w:t>
      </w:r>
      <w:r>
        <w:rPr>
          <w:i/>
          <w:iCs/>
        </w:rPr>
        <w:t xml:space="preserve">customer-specific maintenance</w:t>
      </w:r>
      <w:r>
        <w:t xml:space="preserve"> </w:t>
      </w:r>
      <w:r>
        <w:t xml:space="preserve">yang tersedia tanpa jaminan keamanan dan fitur standar SAP. Sementara itu, SAP berkomitmen mendukung S/4HANA hingga 2040.</w:t>
      </w:r>
    </w:p>
    <w:p>
      <w:pPr>
        <w:pStyle w:val="BodyText"/>
      </w:pPr>
      <w:r>
        <w:t xml:space="preserve">Artinya: perusahaan yang belum memulai</w:t>
      </w:r>
      <w:r>
        <w:t xml:space="preserve"> </w:t>
      </w:r>
      <w:r>
        <w:rPr>
          <w:i/>
          <w:iCs/>
        </w:rPr>
        <w:t xml:space="preserve">assessment</w:t>
      </w:r>
      <w:r>
        <w:t xml:space="preserve"> </w:t>
      </w:r>
      <w:r>
        <w:t xml:space="preserve">dan pemilihan jalur migrasi pada pertengahan 2026 berisiko tidak selesai sebelum akhir 2027. Proyek 12–18 bulan untuk greenfield atau bluefield perlu dimulai segera. Bahkan brownfield yang lebih pendek (6–10 bulan) tetap membutuhkan fase custom code analysis dan perencanaan yang tidak bisa dilewatkan.</w:t>
      </w:r>
    </w:p>
    <w:p>
      <w:pPr>
        <w:pStyle w:val="BodyText"/>
      </w:pPr>
      <w:r>
        <w:t xml:space="preserve">Proses assessment biasanya dimulai dengan workshop strategi ERP, di mana kondisi kustomisasi, data, infrastruktur, dan kesiapan tim dievaluasi sebelum perusahaan berkomitmen ke salah satu pendekatan. Memilih jalur yang tepat di fase ini jauh lebih murah daripada mengubah arah di tengah proyek. Untuk perusahaan yang masih mempertimbangkan implikasi teknis migrasi ini, memahami prinsip</w:t>
      </w:r>
      <w:r>
        <w:t xml:space="preserve"> </w:t>
      </w:r>
      <w:hyperlink r:id="rId23">
        <w:r>
          <w:rPr>
            <w:rStyle w:val="Hyperlink"/>
          </w:rPr>
          <w:t xml:space="preserve">SAP Clean Core</w:t>
        </w:r>
      </w:hyperlink>
      <w:r>
        <w:t xml:space="preserve"> </w:t>
      </w:r>
      <w:r>
        <w:t xml:space="preserve">lebih awal bisa menghemat biaya remediasi yang signifikan di kemudian hari.</w:t>
      </w:r>
    </w:p>
    <w:bookmarkEnd w:id="24"/>
    <w:bookmarkStart w:id="32" w:name="faq-pertanyaan-yang-sering-diajukan"/>
    <w:p>
      <w:pPr>
        <w:pStyle w:val="Heading2"/>
      </w:pPr>
      <w:r>
        <w:t xml:space="preserve">FAQ (Pertanyaan yang Sering Diajukan)</w:t>
      </w:r>
    </w:p>
    <w:bookmarkStart w:id="25" w:name="X09a874ee7703e466a9d84e5cbd0d6071846d07a"/>
    <w:p>
      <w:pPr>
        <w:pStyle w:val="Heading3"/>
      </w:pPr>
      <w:r>
        <w:t xml:space="preserve">Apa perbedaan brownfield, greenfield, dan bluefield dalam migrasi SAP?</w:t>
      </w:r>
    </w:p>
    <w:p>
      <w:pPr>
        <w:pStyle w:val="FirstParagraph"/>
      </w:pPr>
      <w:r>
        <w:t xml:space="preserve">Brownfield (</w:t>
      </w:r>
      <w:r>
        <w:rPr>
          <w:i/>
          <w:iCs/>
        </w:rPr>
        <w:t xml:space="preserve">system conversion</w:t>
      </w:r>
      <w:r>
        <w:t xml:space="preserve">) mengonversi SAP ECC ke S/4HANA langsung; semua data historis dan konfigurasi dipertahankan. Greenfield (</w:t>
      </w:r>
      <w:r>
        <w:rPr>
          <w:i/>
          <w:iCs/>
        </w:rPr>
        <w:t xml:space="preserve">new implementation</w:t>
      </w:r>
      <w:r>
        <w:t xml:space="preserve">) membangun S/4HANA dari nol, dengan proses bisnis yang didesain ulang. Bluefield atau</w:t>
      </w:r>
      <w:r>
        <w:t xml:space="preserve"> </w:t>
      </w:r>
      <w:r>
        <w:rPr>
          <w:i/>
          <w:iCs/>
        </w:rPr>
        <w:t xml:space="preserve">Selective Data Transition</w:t>
      </w:r>
      <w:r>
        <w:t xml:space="preserve"> </w:t>
      </w:r>
      <w:r>
        <w:t xml:space="preserve">(SDT) adalah pendekatan hybrid: hanya data dan proses yang masih relevan yang dipindahkan.</w:t>
      </w:r>
    </w:p>
    <w:bookmarkEnd w:id="25"/>
    <w:bookmarkStart w:id="26" w:name="X0370553ab29cc249a48b1fcd47da83ff17a0547"/>
    <w:p>
      <w:pPr>
        <w:pStyle w:val="Heading3"/>
      </w:pPr>
      <w:r>
        <w:t xml:space="preserve">Pendekatan migrasi mana yang paling banyak dipakai saat ini?</w:t>
      </w:r>
    </w:p>
    <w:p>
      <w:pPr>
        <w:pStyle w:val="FirstParagraph"/>
      </w:pPr>
      <w:r>
        <w:t xml:space="preserve">Berdasarkan penelitian ISG 2026 yang dikutip sumber industri, SDT/bluefield menjadi pendekatan terpopuler (sekitar 48% proyek), diikuti brownfield (sekitar 34%) dan greenfield (sekitar 18%). Banyak perusahaan memilih bluefield karena tidak ingin membuang data transaksi bertahun-tahun, namun tetap ingin harmonisasi proses.</w:t>
      </w:r>
    </w:p>
    <w:bookmarkEnd w:id="26"/>
    <w:bookmarkStart w:id="27" w:name="X6c7c9a9637a12f86050f8b2328996707847d6fd"/>
    <w:p>
      <w:pPr>
        <w:pStyle w:val="Heading3"/>
      </w:pPr>
      <w:r>
        <w:t xml:space="preserve">Apakah brownfield bisa mempertahankan semua kustomisasi ECC?</w:t>
      </w:r>
    </w:p>
    <w:p>
      <w:pPr>
        <w:pStyle w:val="FirstParagraph"/>
      </w:pPr>
      <w:r>
        <w:t xml:space="preserve">Brownfield mempertahankan semua konfigurasi dan kustomisasi, tetapi kode ABAP kustom tidak selalu kompatibel dengan S/4HANA. Perlu dilakukan</w:t>
      </w:r>
      <w:r>
        <w:t xml:space="preserve"> </w:t>
      </w:r>
      <w:r>
        <w:rPr>
          <w:i/>
          <w:iCs/>
        </w:rPr>
        <w:t xml:space="preserve">custom code analysis</w:t>
      </w:r>
      <w:r>
        <w:t xml:space="preserve"> </w:t>
      </w:r>
      <w:r>
        <w:t xml:space="preserve">sebelum konversi. SAP menyediakan</w:t>
      </w:r>
      <w:r>
        <w:t xml:space="preserve"> </w:t>
      </w:r>
      <w:r>
        <w:rPr>
          <w:i/>
          <w:iCs/>
        </w:rPr>
        <w:t xml:space="preserve">Simplification Item Check</w:t>
      </w:r>
      <w:r>
        <w:t xml:space="preserve"> </w:t>
      </w:r>
      <w:r>
        <w:t xml:space="preserve">dan</w:t>
      </w:r>
      <w:r>
        <w:t xml:space="preserve"> </w:t>
      </w:r>
      <w:r>
        <w:rPr>
          <w:i/>
          <w:iCs/>
        </w:rPr>
        <w:t xml:space="preserve">Custom Code Migration App</w:t>
      </w:r>
      <w:r>
        <w:t xml:space="preserve"> </w:t>
      </w:r>
      <w:r>
        <w:t xml:space="preserve">untuk memetakan gap ini sebelum proyek dimulai.</w:t>
      </w:r>
    </w:p>
    <w:bookmarkEnd w:id="27"/>
    <w:bookmarkStart w:id="28" w:name="Xda4ad2fc38eb467ef9af96c367df5c4db7a75c4"/>
    <w:p>
      <w:pPr>
        <w:pStyle w:val="Heading3"/>
      </w:pPr>
      <w:r>
        <w:t xml:space="preserve">Berapa lama proses greenfield dibanding brownfield?</w:t>
      </w:r>
    </w:p>
    <w:p>
      <w:pPr>
        <w:pStyle w:val="FirstParagraph"/>
      </w:pPr>
      <w:r>
        <w:t xml:space="preserve">Untuk deployment satu negara standar: brownfield 6–10 bulan, greenfield 12–18 bulan, bluefield/SDT 9–18 bulan. Ini kisaran industri umum, bukan angka pasti. Greenfield lebih panjang karena mencakup redesain proses dari awal, faktor yang sering diremehkan saat perencanaan anggaran.</w:t>
      </w:r>
    </w:p>
    <w:bookmarkEnd w:id="28"/>
    <w:bookmarkStart w:id="29" w:name="Xdf9db4a185e450a295a5003e6cc9f3cac59aa14"/>
    <w:p>
      <w:pPr>
        <w:pStyle w:val="Heading3"/>
      </w:pPr>
      <w:r>
        <w:t xml:space="preserve">Apa itu Selective Data Transition dan bedanya dengan BLUEFIELD®?</w:t>
      </w:r>
    </w:p>
    <w:p>
      <w:pPr>
        <w:pStyle w:val="FirstParagraph"/>
      </w:pPr>
      <w:r>
        <w:rPr>
          <w:i/>
          <w:iCs/>
        </w:rPr>
        <w:t xml:space="preserve">Selective Data Transition</w:t>
      </w:r>
      <w:r>
        <w:t xml:space="preserve"> </w:t>
      </w:r>
      <w:r>
        <w:t xml:space="preserve">(SDT) adalah istilah resmi SAP untuk migrasi hybrid yang memindahkan hanya subset data dan proses yang dipilih. BLUEFIELD® adalah merek dagang terdaftar SNP Group yang mempopulerkan konsep ini melalui platform CrystalBridge sejak akhir 2010-an. Keduanya merujuk konsep yang sama; dokumentasi SAP resmi menggunakan istilah SDT.</w:t>
      </w:r>
    </w:p>
    <w:bookmarkEnd w:id="29"/>
    <w:bookmarkStart w:id="30" w:name="X331d2c4c1242a01e0f5be9834410937c165d3fc"/>
    <w:p>
      <w:pPr>
        <w:pStyle w:val="Heading3"/>
      </w:pPr>
      <w:r>
        <w:t xml:space="preserve">Apakah bisa kombinasi pendekatan untuk divisi berbeda?</w:t>
      </w:r>
    </w:p>
    <w:p>
      <w:pPr>
        <w:pStyle w:val="FirstParagraph"/>
      </w:pPr>
      <w:r>
        <w:t xml:space="preserve">Bisa. Banyak perusahaan besar memigrasikan anak perusahaan baru secara greenfield dan inti bisnis lama secara brownfield atau bluefield. Pendekatan hybrid ini membutuhkan governance lebih ketat, biasanya lebih mahal, dan perlu direncanakan sejak fase</w:t>
      </w:r>
      <w:r>
        <w:t xml:space="preserve"> </w:t>
      </w:r>
      <w:r>
        <w:rPr>
          <w:i/>
          <w:iCs/>
        </w:rPr>
        <w:t xml:space="preserve">ERP Strategy</w:t>
      </w:r>
      <w:r>
        <w:t xml:space="preserve">, bukan diputuskan di tengah proyek.</w:t>
      </w:r>
    </w:p>
    <w:bookmarkEnd w:id="30"/>
    <w:bookmarkStart w:id="31" w:name="X4c84f826557d5d1ba8db54e67742d789d3558be"/>
    <w:p>
      <w:pPr>
        <w:pStyle w:val="Heading3"/>
      </w:pPr>
      <w:r>
        <w:t xml:space="preserve">Kapan waktu terbaik untuk memulai perencanaan migrasi ERP ke cloud?</w:t>
      </w:r>
    </w:p>
    <w:p>
      <w:pPr>
        <w:pStyle w:val="FirstParagraph"/>
      </w:pPr>
      <w:r>
        <w:t xml:space="preserve">Segera. Mainstream maintenance SAP ECC berakhir 31 Desember 2027, dan proyek migrasi rata-rata membutuhkan 12–18 bulan. Perusahaan yang belum mulai</w:t>
      </w:r>
      <w:r>
        <w:t xml:space="preserve"> </w:t>
      </w:r>
      <w:r>
        <w:rPr>
          <w:i/>
          <w:iCs/>
        </w:rPr>
        <w:t xml:space="preserve">assessment</w:t>
      </w:r>
      <w:r>
        <w:t xml:space="preserve"> </w:t>
      </w:r>
      <w:r>
        <w:t xml:space="preserve">pertengahan 2026 berisiko membayar extended maintenance (+2%/tahun) sambil menyelesaikan transisi. Memulai lebih awal memberi ruang untuk analisis kode kustom dan</w:t>
      </w:r>
      <w:r>
        <w:t xml:space="preserve"> </w:t>
      </w:r>
      <w:r>
        <w:rPr>
          <w:i/>
          <w:iCs/>
        </w:rPr>
        <w:t xml:space="preserve">change management</w:t>
      </w:r>
      <w:r>
        <w:t xml:space="preserve"> </w:t>
      </w:r>
      <w:r>
        <w:t xml:space="preserve">yang memadai.</w:t>
      </w:r>
    </w:p>
    <w:p>
      <w:r>
        <w:pict>
          <v:rect style="width:0;height:1.5pt" o:hralign="center" o:hrstd="t" o:hr="t"/>
        </w:pict>
      </w:r>
    </w:p>
    <w:p>
      <w:pPr>
        <w:pStyle w:val="FirstParagraph"/>
      </w:pPr>
      <w:r>
        <w:t xml:space="preserve">Memilih jalur migrasi yang tepat bukan keputusan teknis semata; ini keputusan bisnis yang menentukan berapa lama proyek berlangsung, berapa yang harus diinvestasikan, dan seberapa siap organisasi untuk berubah. Tidak ada pendekatan yang benar untuk semua perusahaan. Yang ada adalah pendekatan yang paling cocok dengan kondisi spesifik Anda. Sebagai SAP Platinum Partner melalui keanggotaan United VARs, Soltius mendampingi perusahaan mulai dari workshop ERP Strategy, pemilihan jalur migrasi, hingga eksekusi dan dukungan pasca go-live, dengan pengalaman lintas industri sejak 1998.</w:t>
      </w:r>
    </w:p>
    <w:p>
      <w:pPr>
        <w:pStyle w:val="BodyText"/>
      </w:pPr>
      <w:r>
        <w:t xml:space="preserve">Untuk mendiskusikan kesiapan migrasi ERP ke cloud di perusahaan Anda,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www.soltius.co.id/blog/sap-clean-core-the-complete-guide" TargetMode="External" /><Relationship Type="http://schemas.openxmlformats.org/officeDocument/2006/relationships/hyperlink" Id="rId20"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3" Target="https://www.soltius.co.id/blog/sap-clean-core-the-complete-guide" TargetMode="External" /><Relationship Type="http://schemas.openxmlformats.org/officeDocument/2006/relationships/hyperlink" Id="rId20"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2026-06-02T19:08:17Z</dcterms:created>
  <dcterms:modified xsi:type="dcterms:W3CDTF">2026-06-02T19:08:17Z</dcterms:modified>
</cp:coreProperties>
</file>

<file path=docProps/custom.xml><?xml version="1.0" encoding="utf-8"?>
<Properties xmlns="http://schemas.openxmlformats.org/officeDocument/2006/custom-properties" xmlns:vt="http://schemas.openxmlformats.org/officeDocument/2006/docPropsVTypes"/>
</file>