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"Biaya Migrasi ERP ke Cloud: TCO, Komponen Biaya, dan Kapan BEP Tercapai"</w:t>
      </w:r>
      <w:r>
        <w:br/>
      </w:r>
      <w:r>
        <w:rPr>
          <w:rStyle w:val="FunctionTok"/>
        </w:rPr>
        <w:t xml:space="preserve">meta_title</w:t>
      </w:r>
      <w:r>
        <w:rPr>
          <w:rStyle w:val="KeywordTok"/>
        </w:rPr>
        <w:t xml:space="preserve">:</w:t>
      </w:r>
      <w:r>
        <w:rPr>
          <w:rStyle w:val="AttributeTok"/>
        </w:rPr>
        <w:t xml:space="preserve"> </w:t>
      </w:r>
      <w:r>
        <w:rPr>
          <w:rStyle w:val="StringTok"/>
        </w:rPr>
        <w:t xml:space="preserve">"ERP Migration to the Cloud: Kalkulasi TCO &amp; Break-Even"</w:t>
      </w:r>
      <w:r>
        <w:br/>
      </w:r>
      <w:r>
        <w:rPr>
          <w:rStyle w:val="FunctionTok"/>
        </w:rPr>
        <w:t xml:space="preserve">meta_description</w:t>
      </w:r>
      <w:r>
        <w:rPr>
          <w:rStyle w:val="KeywordTok"/>
        </w:rPr>
        <w:t xml:space="preserve">:</w:t>
      </w:r>
      <w:r>
        <w:rPr>
          <w:rStyle w:val="AttributeTok"/>
        </w:rPr>
        <w:t xml:space="preserve"> </w:t>
      </w:r>
      <w:r>
        <w:rPr>
          <w:rStyle w:val="StringTok"/>
        </w:rPr>
        <w:t xml:space="preserve">"Hitung TCO migrasi ERP ke cloud secara realistis — komponen biaya lengkap, perbandingan on-premise vs RISE/GROW, dan kapan break-even point tercapai."</w:t>
      </w:r>
      <w:r>
        <w:br/>
      </w:r>
      <w:r>
        <w:rPr>
          <w:rStyle w:val="FunctionTok"/>
        </w:rPr>
        <w:t xml:space="preserve">slug</w:t>
      </w:r>
      <w:r>
        <w:rPr>
          <w:rStyle w:val="KeywordTok"/>
        </w:rPr>
        <w:t xml:space="preserve">:</w:t>
      </w:r>
      <w:r>
        <w:rPr>
          <w:rStyle w:val="AttributeTok"/>
        </w:rPr>
        <w:t xml:space="preserve"> </w:t>
      </w:r>
      <w:r>
        <w:rPr>
          <w:rStyle w:val="StringTok"/>
        </w:rPr>
        <w:t xml:space="preserve">"biaya-migrasi-erp-ke-cloud-tco-komponen-bep"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"biaya migrasi ERP ke cloud"</w:t>
      </w:r>
      <w:r>
        <w:br/>
      </w:r>
      <w:r>
        <w:rPr>
          <w:rStyle w:val="AttributeTok"/>
        </w:rPr>
        <w:t xml:space="preserve">  </w:t>
      </w:r>
      <w:r>
        <w:rPr>
          <w:rStyle w:val="KeywordTok"/>
        </w:rPr>
        <w:t xml:space="preserve">-</w:t>
      </w:r>
      <w:r>
        <w:rPr>
          <w:rStyle w:val="AttributeTok"/>
        </w:rPr>
        <w:t xml:space="preserve"> </w:t>
      </w:r>
      <w:r>
        <w:rPr>
          <w:rStyle w:val="StringTok"/>
        </w:rPr>
        <w:t xml:space="preserve">"TCO cloud ERP"</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 SAP S/4HANA"</w:t>
      </w:r>
      <w:r>
        <w:br/>
      </w:r>
      <w:r>
        <w:rPr>
          <w:rStyle w:val="AttributeTok"/>
        </w:rPr>
        <w:t xml:space="preserve">  </w:t>
      </w:r>
      <w:r>
        <w:rPr>
          <w:rStyle w:val="KeywordTok"/>
        </w:rPr>
        <w:t xml:space="preserve">-</w:t>
      </w:r>
      <w:r>
        <w:rPr>
          <w:rStyle w:val="AttributeTok"/>
        </w:rPr>
        <w:t xml:space="preserve"> </w:t>
      </w:r>
      <w:r>
        <w:rPr>
          <w:rStyle w:val="StringTok"/>
        </w:rPr>
        <w:t xml:space="preserve">"biaya RISE with SAP"</w:t>
      </w:r>
      <w:r>
        <w:br/>
      </w:r>
      <w:r>
        <w:rPr>
          <w:rStyle w:val="AttributeTok"/>
        </w:rPr>
        <w:t xml:space="preserve">  </w:t>
      </w:r>
      <w:r>
        <w:rPr>
          <w:rStyle w:val="KeywordTok"/>
        </w:rPr>
        <w:t xml:space="preserve">-</w:t>
      </w:r>
      <w:r>
        <w:rPr>
          <w:rStyle w:val="AttributeTok"/>
        </w:rPr>
        <w:t xml:space="preserve"> </w:t>
      </w:r>
      <w:r>
        <w:rPr>
          <w:rStyle w:val="StringTok"/>
        </w:rPr>
        <w:t xml:space="preserve">"perbandingan biaya on-premise vs cloud ERP"</w:t>
      </w:r>
      <w:r>
        <w:br/>
      </w:r>
      <w:r>
        <w:rPr>
          <w:rStyle w:val="AttributeTok"/>
        </w:rPr>
        <w:t xml:space="preserve">  </w:t>
      </w:r>
      <w:r>
        <w:rPr>
          <w:rStyle w:val="KeywordTok"/>
        </w:rPr>
        <w:t xml:space="preserve">-</w:t>
      </w:r>
      <w:r>
        <w:rPr>
          <w:rStyle w:val="AttributeTok"/>
        </w:rPr>
        <w:t xml:space="preserve"> </w:t>
      </w:r>
      <w:r>
        <w:rPr>
          <w:rStyle w:val="StringTok"/>
        </w:rPr>
        <w:t xml:space="preserve">"ROI migrasi ERP"</w:t>
      </w:r>
      <w:r>
        <w:br/>
      </w:r>
      <w:r>
        <w:rPr>
          <w:rStyle w:val="AttributeTok"/>
        </w:rPr>
        <w:t xml:space="preserve">  </w:t>
      </w:r>
      <w:r>
        <w:rPr>
          <w:rStyle w:val="KeywordTok"/>
        </w:rPr>
        <w:t xml:space="preserve">-</w:t>
      </w:r>
      <w:r>
        <w:rPr>
          <w:rStyle w:val="AttributeTok"/>
        </w:rPr>
        <w:t xml:space="preserve"> </w:t>
      </w:r>
      <w:r>
        <w:rPr>
          <w:rStyle w:val="StringTok"/>
        </w:rPr>
        <w:t xml:space="preserve">"OpEx vs CapEx ERP"</w:t>
      </w:r>
      <w:r>
        <w:br/>
      </w:r>
      <w:r>
        <w:rPr>
          <w:rStyle w:val="AttributeTok"/>
        </w:rPr>
        <w:t xml:space="preserve">  </w:t>
      </w:r>
      <w:r>
        <w:rPr>
          <w:rStyle w:val="KeywordTok"/>
        </w:rPr>
        <w:t xml:space="preserve">-</w:t>
      </w:r>
      <w:r>
        <w:rPr>
          <w:rStyle w:val="AttributeTok"/>
        </w:rPr>
        <w:t xml:space="preserve"> </w:t>
      </w:r>
      <w:r>
        <w:rPr>
          <w:rStyle w:val="StringTok"/>
        </w:rPr>
        <w:t xml:space="preserve">"biaya extended maintenance SAP ECC"</w:t>
      </w:r>
      <w:r>
        <w:br/>
      </w:r>
      <w:r>
        <w:rPr>
          <w:rStyle w:val="AttributeTok"/>
        </w:rPr>
        <w:t xml:space="preserve">  </w:t>
      </w:r>
      <w:r>
        <w:rPr>
          <w:rStyle w:val="KeywordTok"/>
        </w:rPr>
        <w:t xml:space="preserve">-</w:t>
      </w:r>
      <w:r>
        <w:rPr>
          <w:rStyle w:val="AttributeTok"/>
        </w:rPr>
        <w:t xml:space="preserve"> </w:t>
      </w:r>
      <w:r>
        <w:rPr>
          <w:rStyle w:val="StringTok"/>
        </w:rPr>
        <w:t xml:space="preserve">"break-even point migrasi cloud"</w:t>
      </w:r>
      <w:r>
        <w:br/>
      </w:r>
      <w:r>
        <w:rPr>
          <w:rStyle w:val="AttributeTok"/>
        </w:rPr>
        <w:t xml:space="preserve">  </w:t>
      </w:r>
      <w:r>
        <w:rPr>
          <w:rStyle w:val="KeywordTok"/>
        </w:rPr>
        <w:t xml:space="preserve">-</w:t>
      </w:r>
      <w:r>
        <w:rPr>
          <w:rStyle w:val="AttributeTok"/>
        </w:rPr>
        <w:t xml:space="preserve"> </w:t>
      </w:r>
      <w:r>
        <w:rPr>
          <w:rStyle w:val="StringTok"/>
        </w:rPr>
        <w:t xml:space="preserve">"kalkulasi biaya migrasi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"https://support.sap.com/en/my-support/software-maintenance.html"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"Tanggal akhir mainstream maintenance SAP ECC 31 Desember 2027; framework extended maintenance 2028–2030"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"https://www.sap.com/products/erp/rise.html"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"Komponen bundel RISE with SAP: S/4HANA Cloud Private Edition, HEC, BTP credit, Signavio"</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"erp-migration-to-the-cloud-03"</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1398</w:t>
      </w:r>
    </w:p>
    <w:p>
      <w:r>
        <w:pict>
          <v:rect style="width:0;height:1.5pt" o:hralign="center" o:hrstd="t" o:hr="t"/>
        </w:pict>
      </w:r>
    </w:p>
    <w:bookmarkEnd w:id="16"/>
    <w:bookmarkStart w:id="33" w:name="Xf120e935e396fb4e869d80d69292cac8fcad9cc"/>
    <w:p>
      <w:pPr>
        <w:pStyle w:val="Heading1"/>
      </w:pPr>
      <w:r>
        <w:t xml:space="preserve">Biaya Migrasi ERP ke Cloud: TCO, Komponen Biaya, dan Kapan BEP Tercapai</w:t>
      </w:r>
    </w:p>
    <w:p>
      <w:pPr>
        <w:pStyle w:val="FirstParagraph"/>
      </w:pPr>
      <w:r>
        <w:t xml:space="preserve">Ketika CIO mengajukan proposal migrasi ERP ke cloud, pertanyaan pertama dari CFO hampir selalu sama:</w:t>
      </w:r>
      <w:r>
        <w:t xml:space="preserve"> </w:t>
      </w:r>
      <w:r>
        <w:t xml:space="preserve">“Berapa totalnya?”</w:t>
      </w:r>
      <w:r>
        <w:t xml:space="preserve"> </w:t>
      </w:r>
      <w:r>
        <w:t xml:space="preserve">Hampir setiap artikel di Indonesia menjawab dengan kalimat yang sama pula:</w:t>
      </w:r>
      <w:r>
        <w:t xml:space="preserve"> </w:t>
      </w:r>
      <w:r>
        <w:t xml:space="preserve">“tergantung kebutuhan perusahaan.”</w:t>
      </w:r>
      <w:r>
        <w:t xml:space="preserve"> </w:t>
      </w:r>
      <w:r>
        <w:t xml:space="preserve">Di balik jawaban itu ada biaya-biaya nyata yang sering tidak diantisipasi: remediasi kode kustom, integrasi sistem,</w:t>
      </w:r>
      <w:r>
        <w:t xml:space="preserve"> </w:t>
      </w:r>
      <w:r>
        <w:rPr>
          <w:i/>
          <w:iCs/>
        </w:rPr>
        <w:t xml:space="preserve">Application Management Services</w:t>
      </w:r>
      <w:r>
        <w:t xml:space="preserve"> </w:t>
      </w:r>
      <w:r>
        <w:t xml:space="preserve">pasca go-live — kesemuanya akhirnya membuat anggaran meleset jauh dari proyeksi.</w:t>
      </w:r>
    </w:p>
    <w:p>
      <w:pPr>
        <w:pStyle w:val="BodyText"/>
      </w:pPr>
      <w:r>
        <w:t xml:space="preserve">Artikel ini mengisi celah itu dengan kerangka kalkulasi</w:t>
      </w:r>
      <w:r>
        <w:t xml:space="preserve"> </w:t>
      </w:r>
      <w:r>
        <w:rPr>
          <w:i/>
          <w:iCs/>
        </w:rPr>
        <w:t xml:space="preserve">Total Cost of Ownership</w:t>
      </w:r>
      <w:r>
        <w:t xml:space="preserve"> </w:t>
      </w:r>
      <w:r>
        <w:t xml:space="preserve">(TCO) 5 tahun yang jujur: komponen mana yang biasanya muncul, mana yang sering terlewat, dan kapan cloud mulai lebih hemat dari bertahan di</w:t>
      </w:r>
      <w:r>
        <w:t xml:space="preserve"> </w:t>
      </w:r>
      <w:r>
        <w:rPr>
          <w:i/>
          <w:iCs/>
        </w:rPr>
        <w:t xml:space="preserve">on-premise</w:t>
      </w:r>
      <w:r>
        <w:t xml:space="preserve">.</w:t>
      </w:r>
    </w:p>
    <w:p>
      <w:pPr>
        <w:pStyle w:val="BlockText"/>
      </w:pPr>
      <w:r>
        <w:rPr>
          <w:b/>
          <w:bCs/>
        </w:rPr>
        <w:t xml:space="preserve">Secara singkat:</w:t>
      </w:r>
      <w:r>
        <w:t xml:space="preserve"> </w:t>
      </w:r>
      <w:r>
        <w:rPr>
          <w:i/>
          <w:iCs/>
        </w:rPr>
        <w:t xml:space="preserve">Total Cost of Ownership</w:t>
      </w:r>
      <w:r>
        <w:t xml:space="preserve"> </w:t>
      </w:r>
      <w:r>
        <w:t xml:space="preserve">(TCO) dalam migrasi ERP ke cloud adalah keseluruhan biaya yang dikeluarkan perusahaan sepanjang siklus hidup proyek: mencakup lisensi cloud, implementasi dan konsultasi, migrasi data, pelatihan, remediasi kode kustom, integrasi sistem, serta</w:t>
      </w:r>
      <w:r>
        <w:t xml:space="preserve"> </w:t>
      </w:r>
      <w:r>
        <w:rPr>
          <w:i/>
          <w:iCs/>
        </w:rPr>
        <w:t xml:space="preserve">Application Management Services</w:t>
      </w:r>
      <w:r>
        <w:t xml:space="preserve"> </w:t>
      </w:r>
      <w:r>
        <w:t xml:space="preserve">(AMS) pasca go-live. Menghitung TCO secara utuh, bukan hanya harga berlangganan, adalah dasar pengambilan keputusan finansial yang tepat bagi CFO.</w:t>
      </w:r>
    </w:p>
    <w:p>
      <w:pPr>
        <w:pStyle w:val="FirstParagraph"/>
      </w:pPr>
      <w:r>
        <w:rPr>
          <w:i/>
          <w:iCs/>
        </w:rPr>
        <w:t xml:space="preserve">[Image 01: Infografik garis dua skenario TCO 5 tahun — garis</w:t>
      </w:r>
      <w:r>
        <w:rPr>
          <w:i/>
          <w:iCs/>
        </w:rPr>
        <w:t xml:space="preserve"> </w:t>
      </w:r>
      <w:r>
        <w:rPr>
          <w:i/>
          <w:iCs/>
        </w:rPr>
        <w:t xml:space="preserve">“On-Premise ECC”</w:t>
      </w:r>
      <w:r>
        <w:rPr>
          <w:i/>
          <w:iCs/>
        </w:rPr>
        <w:t xml:space="preserve"> </w:t>
      </w:r>
      <w:r>
        <w:rPr>
          <w:i/>
          <w:iCs/>
        </w:rPr>
        <w:t xml:space="preserve">(oranye) naik signifikan tahun 2–3 karena extended maintenance dan hardware refresh; garis</w:t>
      </w:r>
      <w:r>
        <w:rPr>
          <w:i/>
          <w:iCs/>
        </w:rPr>
        <w:t xml:space="preserve"> </w:t>
      </w:r>
      <w:r>
        <w:rPr>
          <w:i/>
          <w:iCs/>
        </w:rPr>
        <w:t xml:space="preserve">“Cloud RISE/GROW”</w:t>
      </w:r>
      <w:r>
        <w:rPr>
          <w:i/>
          <w:iCs/>
        </w:rPr>
        <w:t xml:space="preserve"> </w:t>
      </w:r>
      <w:r>
        <w:rPr>
          <w:i/>
          <w:iCs/>
        </w:rPr>
        <w:t xml:space="preserve">(biru) tinggi di tahun 0–1 lalu stabil, dengan titik persilangan berlabel</w:t>
      </w:r>
      <w:r>
        <w:rPr>
          <w:i/>
          <w:iCs/>
        </w:rPr>
        <w:t xml:space="preserve"> </w:t>
      </w:r>
      <w:r>
        <w:rPr>
          <w:i/>
          <w:iCs/>
        </w:rPr>
        <w:t xml:space="preserve">“Break-Even Point”</w:t>
      </w:r>
      <w:r>
        <w:rPr>
          <w:i/>
          <w:iCs/>
        </w:rPr>
        <w:t xml:space="preserve">; aksis Y berupa unit relatif (indeks biaya kumulatif), aksis X berupa tahun 0–5; latar putih, teks Bahasa Indonesia, gaya korporat bersih]</w:t>
      </w:r>
    </w:p>
    <w:bookmarkStart w:id="18" w:name="X8fed961552d6857df5716e5a1baca8e1d64e74e"/>
    <w:p>
      <w:pPr>
        <w:pStyle w:val="Heading2"/>
      </w:pPr>
      <w:r>
        <w:t xml:space="preserve">Apa Itu TCO dan Mengapa Perusahaan Sering Salah Menghitungnya?</w:t>
      </w:r>
    </w:p>
    <w:p>
      <w:pPr>
        <w:pStyle w:val="FirstParagraph"/>
      </w:pPr>
      <w:r>
        <w:rPr>
          <w:i/>
          <w:iCs/>
        </w:rPr>
        <w:t xml:space="preserve">Total Cost of Ownership</w:t>
      </w:r>
      <w:r>
        <w:t xml:space="preserve"> </w:t>
      </w:r>
      <w:r>
        <w:t xml:space="preserve">bukan hanya harga lisensi atau biaya berlangganan bulanan. Angka itulah yang sering muncul dalam presentasi vendor, dan angka itulah yang membuat manajemen salah mengira migrasi ERP ke cloud lebih murah dari kenyataannya (atau justru sebaliknya).</w:t>
      </w:r>
    </w:p>
    <w:p>
      <w:pPr>
        <w:pStyle w:val="BodyText"/>
      </w:pPr>
      <w:r>
        <w:t xml:space="preserve">Dalam praktiknya, komponen biaya migrasi ERP terbagi dalam tiga fase. Pertama,</w:t>
      </w:r>
      <w:r>
        <w:t xml:space="preserve"> </w:t>
      </w:r>
      <w:r>
        <w:rPr>
          <w:i/>
          <w:iCs/>
        </w:rPr>
        <w:t xml:space="preserve">pre-migration</w:t>
      </w:r>
      <w:r>
        <w:t xml:space="preserve">: assessment kesiapan dan pembersihan data. Kedua,</w:t>
      </w:r>
      <w:r>
        <w:t xml:space="preserve"> </w:t>
      </w:r>
      <w:r>
        <w:rPr>
          <w:i/>
          <w:iCs/>
        </w:rPr>
        <w:t xml:space="preserve">implementation</w:t>
      </w:r>
      <w:r>
        <w:t xml:space="preserve">: biaya konsultasi, migrasi data, remediasi kode kustom, pelatihan, dan infrastruktur. Ketiga,</w:t>
      </w:r>
      <w:r>
        <w:t xml:space="preserve"> </w:t>
      </w:r>
      <w:r>
        <w:rPr>
          <w:i/>
          <w:iCs/>
        </w:rPr>
        <w:t xml:space="preserve">post-go-live</w:t>
      </w:r>
      <w:r>
        <w:t xml:space="preserve">: lisensi berlangganan tahunan,</w:t>
      </w:r>
      <w:r>
        <w:t xml:space="preserve"> </w:t>
      </w:r>
      <w:r>
        <w:rPr>
          <w:i/>
          <w:iCs/>
        </w:rPr>
        <w:t xml:space="preserve">Application Management Services</w:t>
      </w:r>
      <w:r>
        <w:t xml:space="preserve">, dan biaya integrasi yang berkembang seiring sistem tumbuh.</w:t>
      </w:r>
    </w:p>
    <w:p>
      <w:pPr>
        <w:pStyle w:val="BodyText"/>
      </w:pPr>
      <w:r>
        <w:t xml:space="preserve">Masalah yang sering terjadi: proposal vendor hanya mencantumkan fase kedua, itupun tidak lengkap. Fase pertama dan ketiga ditanggung sendiri tanpa anggaran yang memadai.</w:t>
      </w:r>
    </w:p>
    <w:p>
      <w:pPr>
        <w:pStyle w:val="BodyText"/>
      </w:pPr>
      <w:r>
        <w:rPr>
          <w:b/>
          <w:bCs/>
        </w:rPr>
        <w:t xml:space="preserve">BACA JUGA:</w:t>
      </w:r>
      <w:r>
        <w:t xml:space="preserve"> </w:t>
      </w:r>
      <w:hyperlink r:id="rId17">
        <w:r>
          <w:rPr>
            <w:rStyle w:val="Hyperlink"/>
          </w:rPr>
          <w:t xml:space="preserve">ERP migration to the cloud</w:t>
        </w:r>
      </w:hyperlink>
      <w:r>
        <w:t xml:space="preserve">.</w:t>
      </w:r>
    </w:p>
    <w:bookmarkEnd w:id="18"/>
    <w:bookmarkStart w:id="19" w:name="rincian-komponen-biaya-tco-per-fase"/>
    <w:p>
      <w:pPr>
        <w:pStyle w:val="Heading2"/>
      </w:pPr>
      <w:r>
        <w:t xml:space="preserve">Rincian Komponen Biaya TCO per Fase</w:t>
      </w:r>
    </w:p>
    <w:p>
      <w:pPr>
        <w:pStyle w:val="FirstParagraph"/>
      </w:pPr>
      <w:r>
        <w:t xml:space="preserve">Tabel berikut memetakan komponen biaya migrasi ERP ke cloud secara lengkap, dari fase</w:t>
      </w:r>
      <w:r>
        <w:t xml:space="preserve"> </w:t>
      </w:r>
      <w:r>
        <w:rPr>
          <w:i/>
          <w:iCs/>
        </w:rPr>
        <w:t xml:space="preserve">pre-migration</w:t>
      </w:r>
      <w:r>
        <w:t xml:space="preserve"> </w:t>
      </w:r>
      <w:r>
        <w:t xml:space="preserve">hingga AMS tahunan pasca go-live. Angka estimasi di sini adalah ilustrasi logika kalkulasi, bukan kutipan dari satu proyek spesifik; angka aktual sangat bergantung pada scope dan kompleksitas.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Komponen Biaya</w:t>
            </w:r>
          </w:p>
        </w:tc>
        <w:tc>
          <w:tcPr/>
          <w:p>
            <w:pPr>
              <w:pStyle w:val="Compact"/>
            </w:pPr>
            <w:r>
              <w:t xml:space="preserve">On-Premise (ECC)</w:t>
            </w:r>
          </w:p>
        </w:tc>
        <w:tc>
          <w:tcPr/>
          <w:p>
            <w:pPr>
              <w:pStyle w:val="Compact"/>
            </w:pPr>
            <w:r>
              <w:t xml:space="preserve">Cloud (RISE/GROW)</w:t>
            </w:r>
          </w:p>
        </w:tc>
        <w:tc>
          <w:tcPr/>
          <w:p>
            <w:pPr>
              <w:pStyle w:val="Compact"/>
            </w:pPr>
            <w:r>
              <w:t xml:space="preserve">Catatan</w:t>
            </w:r>
          </w:p>
        </w:tc>
      </w:tr>
      <w:tr>
        <w:tc>
          <w:tcPr/>
          <w:p>
            <w:pPr>
              <w:pStyle w:val="Compact"/>
            </w:pPr>
            <w:r>
              <w:t xml:space="preserve">Lisensi software</w:t>
            </w:r>
          </w:p>
        </w:tc>
        <w:tc>
          <w:tcPr/>
          <w:p>
            <w:pPr>
              <w:pStyle w:val="Compact"/>
            </w:pPr>
            <w:r>
              <w:t xml:space="preserve">Perpetual + 22%/tahun maintenance</w:t>
            </w:r>
          </w:p>
        </w:tc>
        <w:tc>
          <w:tcPr/>
          <w:p>
            <w:pPr>
              <w:pStyle w:val="Compact"/>
            </w:pPr>
            <w:r>
              <w:t xml:space="preserve">Subscription bulanan/tahunan</w:t>
            </w:r>
          </w:p>
        </w:tc>
        <w:tc>
          <w:tcPr/>
          <w:p>
            <w:pPr>
              <w:pStyle w:val="Compact"/>
            </w:pPr>
            <w:r>
              <w:t xml:space="preserve">Cloud = OpEx; on-prem = CapEx</w:t>
            </w:r>
          </w:p>
        </w:tc>
      </w:tr>
      <w:tr>
        <w:tc>
          <w:tcPr/>
          <w:p>
            <w:pPr>
              <w:pStyle w:val="Compact"/>
            </w:pPr>
            <w:r>
              <w:t xml:space="preserve">Infrastruktur server</w:t>
            </w:r>
          </w:p>
        </w:tc>
        <w:tc>
          <w:tcPr/>
          <w:p>
            <w:pPr>
              <w:pStyle w:val="Compact"/>
            </w:pPr>
            <w:r>
              <w:t xml:space="preserve">CapEx besar; refresh tiap ~5 tahun</w:t>
            </w:r>
          </w:p>
        </w:tc>
        <w:tc>
          <w:tcPr/>
          <w:p>
            <w:pPr>
              <w:pStyle w:val="Compact"/>
            </w:pPr>
            <w:r>
              <w:t xml:space="preserve">Termasuk dalam bundel RISE/GROW</w:t>
            </w:r>
          </w:p>
        </w:tc>
        <w:tc>
          <w:tcPr/>
          <w:p>
            <w:pPr>
              <w:pStyle w:val="Compact"/>
            </w:pPr>
            <w:r>
              <w:t xml:space="preserve">Tidak ada hardware sendiri</w:t>
            </w:r>
          </w:p>
        </w:tc>
      </w:tr>
      <w:tr>
        <w:tc>
          <w:tcPr/>
          <w:p>
            <w:pPr>
              <w:pStyle w:val="Compact"/>
            </w:pPr>
            <w:r>
              <w:t xml:space="preserve">Implementasi &amp; konsultasi</w:t>
            </w:r>
          </w:p>
        </w:tc>
        <w:tc>
          <w:tcPr/>
          <w:p>
            <w:pPr>
              <w:pStyle w:val="Compact"/>
            </w:pPr>
            <w:r>
              <w:t xml:space="preserve">Greenfield: 1–2 tahun</w:t>
            </w:r>
          </w:p>
        </w:tc>
        <w:tc>
          <w:tcPr/>
          <w:p>
            <w:pPr>
              <w:pStyle w:val="Compact"/>
            </w:pPr>
            <w:r>
              <w:t xml:space="preserve">RISE: 12–18 bln; GROW: 3–6 bln</w:t>
            </w:r>
          </w:p>
        </w:tc>
        <w:tc>
          <w:tcPr/>
          <w:p>
            <w:pPr>
              <w:pStyle w:val="Compact"/>
            </w:pPr>
            <w:r>
              <w:t xml:space="preserve">Biaya terbesar dalam proyek</w:t>
            </w:r>
          </w:p>
        </w:tc>
      </w:tr>
      <w:tr>
        <w:tc>
          <w:tcPr/>
          <w:p>
            <w:pPr>
              <w:pStyle w:val="Compact"/>
            </w:pPr>
            <w:r>
              <w:t xml:space="preserve">Migrasi &amp; pembersihan data</w:t>
            </w:r>
          </w:p>
        </w:tc>
        <w:tc>
          <w:tcPr/>
          <w:p>
            <w:pPr>
              <w:pStyle w:val="Compact"/>
            </w:pPr>
            <w:r>
              <w:t xml:space="preserve">Tidak berlaku</w:t>
            </w:r>
          </w:p>
        </w:tc>
        <w:tc>
          <w:tcPr/>
          <w:p>
            <w:pPr>
              <w:pStyle w:val="Compact"/>
            </w:pPr>
            <w:r>
              <w:t xml:space="preserve">Wajib; ~15–25% dari total biaya</w:t>
            </w:r>
          </w:p>
        </w:tc>
        <w:tc>
          <w:tcPr/>
          <w:p>
            <w:pPr>
              <w:pStyle w:val="Compact"/>
            </w:pPr>
            <w:r>
              <w:t xml:space="preserve">Sering diremehkan di proposal</w:t>
            </w:r>
          </w:p>
        </w:tc>
      </w:tr>
      <w:tr>
        <w:tc>
          <w:tcPr/>
          <w:p>
            <w:pPr>
              <w:pStyle w:val="Compact"/>
            </w:pPr>
            <w:r>
              <w:t xml:space="preserve">Remediasi kode kustom</w:t>
            </w:r>
          </w:p>
        </w:tc>
        <w:tc>
          <w:tcPr/>
          <w:p>
            <w:pPr>
              <w:pStyle w:val="Compact"/>
            </w:pPr>
            <w:r>
              <w:t xml:space="preserve">Minimal</w:t>
            </w:r>
          </w:p>
        </w:tc>
        <w:tc>
          <w:tcPr/>
          <w:p>
            <w:pPr>
              <w:pStyle w:val="Compact"/>
            </w:pPr>
            <w:r>
              <w:t xml:space="preserve">Wajib untuk kode incompatible</w:t>
            </w:r>
          </w:p>
        </w:tc>
        <w:tc>
          <w:tcPr/>
          <w:p>
            <w:pPr>
              <w:pStyle w:val="Compact"/>
            </w:pPr>
            <w:r>
              <w:t xml:space="preserve">Makin banyak Z-objects, makin mahal</w:t>
            </w:r>
          </w:p>
        </w:tc>
      </w:tr>
      <w:tr>
        <w:tc>
          <w:tcPr/>
          <w:p>
            <w:pPr>
              <w:pStyle w:val="Compact"/>
            </w:pPr>
            <w:r>
              <w:t xml:space="preserve">Pelatihan &amp; AMS pasca go-live</w:t>
            </w:r>
          </w:p>
        </w:tc>
        <w:tc>
          <w:tcPr/>
          <w:p>
            <w:pPr>
              <w:pStyle w:val="Compact"/>
            </w:pPr>
            <w:r>
              <w:t xml:space="preserve">Internal</w:t>
            </w:r>
          </w:p>
        </w:tc>
        <w:tc>
          <w:tcPr/>
          <w:p>
            <w:pPr>
              <w:pStyle w:val="Compact"/>
            </w:pPr>
            <w:r>
              <w:t xml:space="preserve">Diperlukan; ~10–20%/tahun dari impl.</w:t>
            </w:r>
          </w:p>
        </w:tc>
        <w:tc>
          <w:tcPr/>
          <w:p>
            <w:pPr>
              <w:pStyle w:val="Compact"/>
            </w:pPr>
            <w:r>
              <w:t xml:space="preserve">Bukan biaya opsional</w:t>
            </w:r>
          </w:p>
        </w:tc>
      </w:tr>
      <w:tr>
        <w:tc>
          <w:tcPr/>
          <w:p>
            <w:pPr>
              <w:pStyle w:val="Compact"/>
            </w:pPr>
            <w:r>
              <w:t xml:space="preserve">Extended maintenance ECC</w:t>
            </w:r>
          </w:p>
        </w:tc>
        <w:tc>
          <w:tcPr/>
          <w:p>
            <w:pPr>
              <w:pStyle w:val="Compact"/>
            </w:pPr>
            <w:r>
              <w:t xml:space="preserve">Surcharge tambahan 2028–2030</w:t>
            </w:r>
          </w:p>
        </w:tc>
        <w:tc>
          <w:tcPr/>
          <w:p>
            <w:pPr>
              <w:pStyle w:val="Compact"/>
            </w:pPr>
            <w:r>
              <w:t xml:space="preserve">Tidak berlaku jika sudah migrasi</w:t>
            </w:r>
          </w:p>
        </w:tc>
        <w:tc>
          <w:tcPr/>
          <w:p>
            <w:pPr>
              <w:pStyle w:val="Compact"/>
            </w:pPr>
            <w:r>
              <w:t xml:space="preserve">Opportunity cost menunda migrasi</w:t>
            </w:r>
          </w:p>
        </w:tc>
      </w:tr>
    </w:tbl>
    <w:p>
      <w:pPr>
        <w:pStyle w:val="BodyText"/>
      </w:pPr>
      <w:r>
        <w:t xml:space="preserve">Model cloud mengubah struktur belanja secara mendasar: dari</w:t>
      </w:r>
      <w:r>
        <w:t xml:space="preserve"> </w:t>
      </w:r>
      <w:r>
        <w:rPr>
          <w:i/>
          <w:iCs/>
        </w:rPr>
        <w:t xml:space="preserve">Capital Expenditure</w:t>
      </w:r>
      <w:r>
        <w:t xml:space="preserve"> </w:t>
      </w:r>
      <w:r>
        <w:t xml:space="preserve">(CapEx) berupa pengeluaran besar di awal untuk hardware dan lisensi permanen, menjadi</w:t>
      </w:r>
      <w:r>
        <w:t xml:space="preserve"> </w:t>
      </w:r>
      <w:r>
        <w:rPr>
          <w:i/>
          <w:iCs/>
        </w:rPr>
        <w:t xml:space="preserve">Operational Expenditure</w:t>
      </w:r>
      <w:r>
        <w:t xml:space="preserve"> </w:t>
      </w:r>
      <w:r>
        <w:t xml:space="preserve">(OpEx) yang dapat diprediksi. Bagi CFO, ini berarti arus kas lebih terencana dan tidak ada hardware yang tiba-tiba butuh diganti.</w:t>
      </w:r>
    </w:p>
    <w:bookmarkEnd w:id="19"/>
    <w:bookmarkStart w:id="21" w:name="X70f1dcc3162ac31680ea0c7a750ca9a962ac909"/>
    <w:p>
      <w:pPr>
        <w:pStyle w:val="Heading2"/>
      </w:pPr>
      <w:r>
        <w:t xml:space="preserve">Bagaimana Perbandingan Biaya On-Premise vs Cloud dalam 5 Tahun?</w:t>
      </w:r>
    </w:p>
    <w:p>
      <w:pPr>
        <w:pStyle w:val="FirstParagraph"/>
      </w:pPr>
      <w:r>
        <w:t xml:space="preserve">Inilah pertanyaan yang seharusnya ada di setiap</w:t>
      </w:r>
      <w:r>
        <w:t xml:space="preserve"> </w:t>
      </w:r>
      <w:r>
        <w:rPr>
          <w:i/>
          <w:iCs/>
        </w:rPr>
        <w:t xml:space="preserve">business case</w:t>
      </w:r>
      <w:r>
        <w:t xml:space="preserve"> </w:t>
      </w:r>
      <w:r>
        <w:t xml:space="preserve">migrasi, tapi jarang dijawab dengan kerangka yang setara.</w:t>
      </w:r>
    </w:p>
    <w:p>
      <w:pPr>
        <w:pStyle w:val="BodyText"/>
      </w:pPr>
      <w:r>
        <w:t xml:space="preserve">Untuk model</w:t>
      </w:r>
      <w:r>
        <w:t xml:space="preserve"> </w:t>
      </w:r>
      <w:r>
        <w:rPr>
          <w:i/>
          <w:iCs/>
        </w:rPr>
        <w:t xml:space="preserve">on-premise</w:t>
      </w:r>
      <w:r>
        <w:t xml:space="preserve"> </w:t>
      </w:r>
      <w:r>
        <w:t xml:space="preserve">yang mempertahankan SAP ECC, dua tekanan biaya paling sering diabaikan. Pertama, maintenance standar SAP sendiri umumnya berada di kisaran</w:t>
      </w:r>
      <w:r>
        <w:t xml:space="preserve"> </w:t>
      </w:r>
      <w:r>
        <w:rPr>
          <w:b/>
          <w:bCs/>
        </w:rPr>
        <w:t xml:space="preserve">22% dari nilai lisensi per tahun</w:t>
      </w:r>
      <w:r>
        <w:t xml:space="preserve"> </w:t>
      </w:r>
      <w:r>
        <w:t xml:space="preserve">(praktik harga SAP yang dipublikasikan; dikonfirmasi oleh referensi Gartner tentang TCO ERP). Kedua, setelah mainstream maintenance berakhir pada</w:t>
      </w:r>
      <w:r>
        <w:t xml:space="preserve"> </w:t>
      </w:r>
      <w:r>
        <w:rPr>
          <w:b/>
          <w:bCs/>
        </w:rPr>
        <w:t xml:space="preserve">31 Desember 2027</w:t>
      </w:r>
      <w:r>
        <w:t xml:space="preserve"> </w:t>
      </w:r>
      <w:r>
        <w:t xml:space="preserve">(SAP Support Portal), tersedia opsi</w:t>
      </w:r>
      <w:r>
        <w:t xml:space="preserve"> </w:t>
      </w:r>
      <w:r>
        <w:rPr>
          <w:i/>
          <w:iCs/>
        </w:rPr>
        <w:t xml:space="preserve">extended maintenance</w:t>
      </w:r>
      <w:r>
        <w:t xml:space="preserve"> </w:t>
      </w:r>
      <w:r>
        <w:t xml:space="preserve">hingga 2030 dengan biaya tambahan (</w:t>
      </w:r>
      <w:r>
        <w:rPr>
          <w:i/>
          <w:iCs/>
        </w:rPr>
        <w:t xml:space="preserve">surcharge</w:t>
      </w:r>
      <w:r>
        <w:t xml:space="preserve">) di atas tarif standar. Berapa persis surcharge-nya? SAP tidak mempublikasikan tarif resmi; yang pasti, biayanya lebih tinggi tanpa tambahan fitur baru.</w:t>
      </w:r>
    </w:p>
    <w:p>
      <w:pPr>
        <w:pStyle w:val="BodyText"/>
      </w:pPr>
      <w:r>
        <w:t xml:space="preserve">Di sisi cloud, investasi awal lebih berat di tahun 0–1 karena biaya implementasi satu kali. Namun eliminasi</w:t>
      </w:r>
      <w:r>
        <w:t xml:space="preserve"> </w:t>
      </w:r>
      <w:r>
        <w:rPr>
          <w:i/>
          <w:iCs/>
        </w:rPr>
        <w:t xml:space="preserve">hardware refresh</w:t>
      </w:r>
      <w:r>
        <w:t xml:space="preserve"> </w:t>
      </w:r>
      <w:r>
        <w:t xml:space="preserve">(tiap ~5 tahun), berkurangnya kebutuhan tim IT internal, dan biaya berlangganan yang stabil mulai kompensasi pada suatu titik.</w:t>
      </w:r>
    </w:p>
    <w:p>
      <w:pPr>
        <w:pStyle w:val="BodyText"/>
      </w:pPr>
      <w:r>
        <w:t xml:space="preserve">Sebagai kerangka perencanaan (bukan angka pasti),</w:t>
      </w:r>
      <w:r>
        <w:t xml:space="preserve"> </w:t>
      </w:r>
      <w:r>
        <w:rPr>
          <w:i/>
          <w:iCs/>
        </w:rPr>
        <w:t xml:space="preserve">break-even point</w:t>
      </w:r>
      <w:r>
        <w:t xml:space="preserve"> </w:t>
      </w:r>
      <w:r>
        <w:t xml:space="preserve">umumnya dicapai sekitar</w:t>
      </w:r>
      <w:r>
        <w:t xml:space="preserve"> </w:t>
      </w:r>
      <w:r>
        <w:rPr>
          <w:b/>
          <w:bCs/>
        </w:rPr>
        <w:t xml:space="preserve">tahun ke-3</w:t>
      </w:r>
      <w:r>
        <w:t xml:space="preserve"> </w:t>
      </w:r>
      <w:r>
        <w:t xml:space="preserve">untuk mid-market yang memilih SAP S/4HANA Cloud Public Edition (</w:t>
      </w:r>
      <w:r>
        <w:rPr>
          <w:i/>
          <w:iCs/>
        </w:rPr>
        <w:t xml:space="preserve">GROW with SAP</w:t>
      </w:r>
      <w:r>
        <w:t xml:space="preserve">) dengan proses bisnis relatif standar. Untuk enterprise besar dengan proyek</w:t>
      </w:r>
      <w:r>
        <w:t xml:space="preserve"> </w:t>
      </w:r>
      <w:r>
        <w:rPr>
          <w:i/>
          <w:iCs/>
        </w:rPr>
        <w:t xml:space="preserve">brownfield</w:t>
      </w:r>
      <w:r>
        <w:t xml:space="preserve"> </w:t>
      </w:r>
      <w:r>
        <w:t xml:space="preserve">kompleks menggunakan</w:t>
      </w:r>
      <w:r>
        <w:t xml:space="preserve"> </w:t>
      </w:r>
      <w:r>
        <w:rPr>
          <w:i/>
          <w:iCs/>
        </w:rPr>
        <w:t xml:space="preserve">RISE with SAP</w:t>
      </w:r>
      <w:r>
        <w:t xml:space="preserve">, rentang yang umum disebut di riset industri (IDC, Forrester) adalah</w:t>
      </w:r>
      <w:r>
        <w:t xml:space="preserve"> </w:t>
      </w:r>
      <w:r>
        <w:rPr>
          <w:b/>
          <w:bCs/>
        </w:rPr>
        <w:t xml:space="preserve">tahun ke-4</w:t>
      </w:r>
      <w:r>
        <w:t xml:space="preserve">.</w:t>
      </w:r>
    </w:p>
    <w:p>
      <w:pPr>
        <w:pStyle w:val="BodyText"/>
      </w:pPr>
      <w:r>
        <w:t xml:space="preserve">Yang perlu masuk dalam kalkulasi tapi sering luput:</w:t>
      </w:r>
      <w:r>
        <w:t xml:space="preserve"> </w:t>
      </w:r>
      <w:r>
        <w:rPr>
          <w:b/>
          <w:bCs/>
        </w:rPr>
        <w:t xml:space="preserve">opportunity cost dari tidak bermigrasi</w:t>
      </w:r>
      <w:r>
        <w:t xml:space="preserve">. Perusahaan yang tetap di ECC setelah 2027 tidak hanya membayar surcharge; mereka juga beroperasi tanpa patch keamanan resmi SAP setelah periode itu berakhir. Biaya risiko ini sulit dikuantifikasi, tapi tidak boleh absen dari</w:t>
      </w:r>
      <w:r>
        <w:t xml:space="preserve"> </w:t>
      </w:r>
      <w:r>
        <w:rPr>
          <w:i/>
          <w:iCs/>
        </w:rPr>
        <w:t xml:space="preserve">business case</w:t>
      </w:r>
      <w:r>
        <w:t xml:space="preserve">.</w:t>
      </w:r>
    </w:p>
    <w:p>
      <w:pPr>
        <w:pStyle w:val="BodyText"/>
      </w:pPr>
      <w:r>
        <w:t xml:space="preserve">Kalkulasi TCO yang lengkap untuk</w:t>
      </w:r>
      <w:r>
        <w:t xml:space="preserve"> </w:t>
      </w:r>
      <w:hyperlink r:id="rId20">
        <w:r>
          <w:rPr>
            <w:rStyle w:val="Hyperlink"/>
          </w:rPr>
          <w:t xml:space="preserve">data warehouse solutions</w:t>
        </w:r>
      </w:hyperlink>
      <w:r>
        <w:t xml:space="preserve"> </w:t>
      </w:r>
      <w:r>
        <w:t xml:space="preserve">juga perlu disiapkan bersamaan, karena layer data dan analitik sering menjadi komponen biaya tersendiri dalam migrasi ERP ke cloud.</w:t>
      </w:r>
    </w:p>
    <w:p>
      <w:pPr>
        <w:pStyle w:val="BodyText"/>
      </w:pPr>
      <w:r>
        <w:rPr>
          <w:i/>
          <w:iCs/>
        </w:rPr>
        <w:t xml:space="preserve">[Image 02: Infografis horizontal stacked bar komponen biaya TCO migrasi ERP ke cloud — tujuh segmen berwarna berbeda (lisensi: biru; implementasi: navy; data migration: teal; pelatihan: hijau; integrasi: abu; AMS: oranye; contingency: merah muda), segmen</w:t>
      </w:r>
      <w:r>
        <w:rPr>
          <w:i/>
          <w:iCs/>
        </w:rPr>
        <w:t xml:space="preserve"> </w:t>
      </w:r>
      <w:r>
        <w:rPr>
          <w:i/>
          <w:iCs/>
        </w:rPr>
        <w:t xml:space="preserve">“biaya tersembunyi”</w:t>
      </w:r>
      <w:r>
        <w:rPr>
          <w:i/>
          <w:iCs/>
        </w:rPr>
        <w:t xml:space="preserve"> </w:t>
      </w:r>
      <w:r>
        <w:rPr>
          <w:i/>
          <w:iCs/>
        </w:rPr>
        <w:t xml:space="preserve">(data migration + integrasi + contingency) diblok dengan outline merah putus-putus dan label</w:t>
      </w:r>
      <w:r>
        <w:rPr>
          <w:i/>
          <w:iCs/>
        </w:rPr>
        <w:t xml:space="preserve"> </w:t>
      </w:r>
      <w:r>
        <w:rPr>
          <w:i/>
          <w:iCs/>
        </w:rPr>
        <w:t xml:space="preserve">“Sering Tidak Dianggarkan”</w:t>
      </w:r>
      <w:r>
        <w:rPr>
          <w:i/>
          <w:iCs/>
        </w:rPr>
        <w:t xml:space="preserve">; teks Bahasa Indonesia; gaya infografis korporat modern]</w:t>
      </w:r>
    </w:p>
    <w:bookmarkEnd w:id="21"/>
    <w:bookmarkStart w:id="23" w:name="X9c568807d37a45a580b6c051da132963817406f"/>
    <w:p>
      <w:pPr>
        <w:pStyle w:val="Heading2"/>
      </w:pPr>
      <w:r>
        <w:t xml:space="preserve">Biaya Tersembunyi yang Paling Sering Membuat Proyek Membengkak</w:t>
      </w:r>
    </w:p>
    <w:p>
      <w:pPr>
        <w:pStyle w:val="FirstParagraph"/>
      </w:pPr>
      <w:r>
        <w:t xml:space="preserve">Bagian ini jarang ditulis di artikel vendor Indonesia, padahal justru di sinilah proyek paling sering meleset. Ada pola yang berulang.</w:t>
      </w:r>
    </w:p>
    <w:p>
      <w:pPr>
        <w:pStyle w:val="BodyText"/>
      </w:pPr>
      <w:r>
        <w:rPr>
          <w:b/>
          <w:bCs/>
        </w:rPr>
        <w:t xml:space="preserve">Lima komponen yang paling sering tidak dianggarkan:</w:t>
      </w:r>
    </w:p>
    <w:p>
      <w:pPr>
        <w:numPr>
          <w:ilvl w:val="0"/>
          <w:numId w:val="1001"/>
        </w:numPr>
      </w:pPr>
      <w:r>
        <w:rPr>
          <w:b/>
          <w:bCs/>
        </w:rPr>
        <w:t xml:space="preserve">Pembersihan data (</w:t>
      </w:r>
      <w:r>
        <w:rPr>
          <w:b/>
          <w:bCs/>
          <w:i/>
          <w:iCs/>
        </w:rPr>
        <w:t xml:space="preserve">data cleansing</w:t>
      </w:r>
      <w:r>
        <w:rPr>
          <w:b/>
          <w:bCs/>
        </w:rPr>
        <w:t xml:space="preserve">).</w:t>
      </w:r>
      <w:r>
        <w:t xml:space="preserve"> </w:t>
      </w:r>
      <w:r>
        <w:t xml:space="preserve">Dalam praktik implementasi, tahap ini bisa memakan 30–40% dari total</w:t>
      </w:r>
      <w:r>
        <w:t xml:space="preserve"> </w:t>
      </w:r>
      <w:r>
        <w:rPr>
          <w:i/>
          <w:iCs/>
        </w:rPr>
        <w:t xml:space="preserve">timeline</w:t>
      </w:r>
      <w:r>
        <w:t xml:space="preserve"> </w:t>
      </w:r>
      <w:r>
        <w:t xml:space="preserve">proyek. Perusahaan yang mengira ini urusan teknis satu pekan biasanya kena kejutan terbesar di sini.</w:t>
      </w:r>
    </w:p>
    <w:p>
      <w:pPr>
        <w:numPr>
          <w:ilvl w:val="0"/>
          <w:numId w:val="1001"/>
        </w:numPr>
      </w:pPr>
      <w:r>
        <w:rPr>
          <w:b/>
          <w:bCs/>
        </w:rPr>
        <w:t xml:space="preserve">Remediasi kode kustom.</w:t>
      </w:r>
      <w:r>
        <w:t xml:space="preserve"> </w:t>
      </w:r>
      <w:r>
        <w:t xml:space="preserve">Modifikasi ABAP dan Z-objects warisan dari ECC tidak otomatis kompatibel dengan SAP S/4HANA Cloud. SAP menyediakan</w:t>
      </w:r>
      <w:r>
        <w:t xml:space="preserve"> </w:t>
      </w:r>
      <w:r>
        <w:rPr>
          <w:i/>
          <w:iCs/>
        </w:rPr>
        <w:t xml:space="preserve">SAP Readiness Check</w:t>
      </w:r>
      <w:r>
        <w:t xml:space="preserve"> </w:t>
      </w:r>
      <w:r>
        <w:t xml:space="preserve">untuk mengidentifikasi kode yang perlu disesuaikan. Ini juga alasan mengapa strategi</w:t>
      </w:r>
      <w:r>
        <w:t xml:space="preserve"> </w:t>
      </w:r>
      <w:hyperlink r:id="rId22">
        <w:r>
          <w:rPr>
            <w:rStyle w:val="Hyperlink"/>
          </w:rPr>
          <w:t xml:space="preserve">SAP Clean Core</w:t>
        </w:r>
      </w:hyperlink>
      <w:r>
        <w:t xml:space="preserve">, yaitu mengurangi ketergantungan pada modifikasi</w:t>
      </w:r>
      <w:r>
        <w:t xml:space="preserve"> </w:t>
      </w:r>
      <w:r>
        <w:rPr>
          <w:i/>
          <w:iCs/>
        </w:rPr>
        <w:t xml:space="preserve">core</w:t>
      </w:r>
      <w:r>
        <w:t xml:space="preserve"> </w:t>
      </w:r>
      <w:r>
        <w:t xml:space="preserve">sejak sekarang, secara langsung menekan biaya migrasi di masa depan.</w:t>
      </w:r>
    </w:p>
    <w:p>
      <w:pPr>
        <w:numPr>
          <w:ilvl w:val="0"/>
          <w:numId w:val="1001"/>
        </w:numPr>
      </w:pPr>
      <w:r>
        <w:rPr>
          <w:b/>
          <w:bCs/>
        </w:rPr>
        <w:t xml:space="preserve">Integrasi dengan sistem non-SAP.</w:t>
      </w:r>
      <w:r>
        <w:t xml:space="preserve"> </w:t>
      </w:r>
      <w:r>
        <w:t xml:space="preserve">CRM,</w:t>
      </w:r>
      <w:r>
        <w:t xml:space="preserve"> </w:t>
      </w:r>
      <w:r>
        <w:rPr>
          <w:i/>
          <w:iCs/>
        </w:rPr>
        <w:t xml:space="preserve">e-commerce</w:t>
      </w:r>
      <w:r>
        <w:t xml:space="preserve">, HRD, atau</w:t>
      </w:r>
      <w:r>
        <w:t xml:space="preserve"> </w:t>
      </w:r>
      <w:r>
        <w:rPr>
          <w:i/>
          <w:iCs/>
        </w:rPr>
        <w:t xml:space="preserve">middleware</w:t>
      </w:r>
      <w:r>
        <w:t xml:space="preserve"> </w:t>
      </w:r>
      <w:r>
        <w:t xml:space="preserve">pihak ketiga yang terhubung ke ECC perlu dirancang ulang untuk S/4HANA Cloud. Sering absen dari proposal awal karena vendor tidak tahu berapa banyak sistem</w:t>
      </w:r>
      <w:r>
        <w:t xml:space="preserve"> </w:t>
      </w:r>
      <w:r>
        <w:t xml:space="preserve">“satelit”</w:t>
      </w:r>
      <w:r>
        <w:t xml:space="preserve"> </w:t>
      </w:r>
      <w:r>
        <w:t xml:space="preserve">yang ada.</w:t>
      </w:r>
    </w:p>
    <w:p>
      <w:pPr>
        <w:numPr>
          <w:ilvl w:val="0"/>
          <w:numId w:val="1001"/>
        </w:numPr>
      </w:pPr>
      <w:r>
        <w:rPr>
          <w:b/>
          <w:bCs/>
          <w:i/>
          <w:iCs/>
        </w:rPr>
        <w:t xml:space="preserve">Change management</w:t>
      </w:r>
      <w:r>
        <w:rPr>
          <w:b/>
          <w:bCs/>
        </w:rPr>
        <w:t xml:space="preserve"> </w:t>
      </w:r>
      <w:r>
        <w:rPr>
          <w:b/>
          <w:bCs/>
        </w:rPr>
        <w:t xml:space="preserve">dan pelatihan.</w:t>
      </w:r>
      <w:r>
        <w:t xml:space="preserve"> </w:t>
      </w:r>
      <w:r>
        <w:t xml:space="preserve">Bukan biaya opsional. Semakin besar perbedaan antara proses lama dan baru (</w:t>
      </w:r>
      <w:r>
        <w:rPr>
          <w:i/>
          <w:iCs/>
        </w:rPr>
        <w:t xml:space="preserve">greenfield</w:t>
      </w:r>
      <w:r>
        <w:t xml:space="preserve"> </w:t>
      </w:r>
      <w:r>
        <w:t xml:space="preserve">vs</w:t>
      </w:r>
      <w:r>
        <w:t xml:space="preserve"> </w:t>
      </w:r>
      <w:r>
        <w:rPr>
          <w:i/>
          <w:iCs/>
        </w:rPr>
        <w:t xml:space="preserve">brownfield</w:t>
      </w:r>
      <w:r>
        <w:t xml:space="preserve">), semakin besar anggaran pelatihan yang dibutuhkan.</w:t>
      </w:r>
    </w:p>
    <w:p>
      <w:pPr>
        <w:numPr>
          <w:ilvl w:val="0"/>
          <w:numId w:val="1001"/>
        </w:numPr>
      </w:pPr>
      <w:r>
        <w:rPr>
          <w:b/>
          <w:bCs/>
        </w:rPr>
        <w:t xml:space="preserve">Contingency untuk rollback.</w:t>
      </w:r>
      <w:r>
        <w:t xml:space="preserve"> </w:t>
      </w:r>
      <w:r>
        <w:t xml:space="preserve">Ketidakhadiran anggaran cadangan untuk skenario</w:t>
      </w:r>
      <w:r>
        <w:t xml:space="preserve"> </w:t>
      </w:r>
      <w:r>
        <w:rPr>
          <w:i/>
          <w:iCs/>
        </w:rPr>
        <w:t xml:space="preserve">go-live</w:t>
      </w:r>
      <w:r>
        <w:t xml:space="preserve"> </w:t>
      </w:r>
      <w:r>
        <w:t xml:space="preserve">bermasalah adalah salah satu penyebab paling umum proyek memanjang dan biaya meledak.</w:t>
      </w:r>
    </w:p>
    <w:p>
      <w:pPr>
        <w:pStyle w:val="FirstParagraph"/>
      </w:pPr>
      <w:r>
        <w:t xml:space="preserve">Mitra implementasi berpengalaman membantu mengidentifikasi kelima komponen ini sejak</w:t>
      </w:r>
      <w:r>
        <w:t xml:space="preserve"> </w:t>
      </w:r>
      <w:r>
        <w:rPr>
          <w:i/>
          <w:iCs/>
        </w:rPr>
        <w:t xml:space="preserve">assessment</w:t>
      </w:r>
      <w:r>
        <w:t xml:space="preserve"> </w:t>
      </w:r>
      <w:r>
        <w:t xml:space="preserve">awal, sebelum angka masuk ke proposal.</w:t>
      </w:r>
    </w:p>
    <w:bookmarkEnd w:id="23"/>
    <w:bookmarkStart w:id="24" w:name="X2278a3b303676c1937a84f94c9b5dda32ab9669"/>
    <w:p>
      <w:pPr>
        <w:pStyle w:val="Heading2"/>
      </w:pPr>
      <w:r>
        <w:t xml:space="preserve">RISE with SAP vs GROW with SAP: Implikasi Biaya bagi Perusahaan Anda</w:t>
      </w:r>
    </w:p>
    <w:p>
      <w:pPr>
        <w:pStyle w:val="FirstParagraph"/>
      </w:pPr>
      <w:r>
        <w:t xml:space="preserve">Dua program migrasi SAP untuk cloud memiliki profil biaya yang berbeda secara mendasar.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RISE with SAP</w:t>
            </w:r>
          </w:p>
        </w:tc>
        <w:tc>
          <w:tcPr/>
          <w:p>
            <w:pPr>
              <w:pStyle w:val="Compact"/>
            </w:pPr>
            <w:r>
              <w:t xml:space="preserve">GROW with SAP</w:t>
            </w:r>
          </w:p>
        </w:tc>
      </w:tr>
      <w:tr>
        <w:tc>
          <w:tcPr/>
          <w:p>
            <w:pPr>
              <w:pStyle w:val="Compact"/>
            </w:pPr>
            <w:r>
              <w:t xml:space="preserve">Target perusahaan</w:t>
            </w:r>
          </w:p>
        </w:tc>
        <w:tc>
          <w:tcPr/>
          <w:p>
            <w:pPr>
              <w:pStyle w:val="Compact"/>
            </w:pPr>
            <w:r>
              <w:t xml:space="preserve">Enterprise; migrasi dari ECC</w:t>
            </w:r>
          </w:p>
        </w:tc>
        <w:tc>
          <w:tcPr/>
          <w:p>
            <w:pPr>
              <w:pStyle w:val="Compact"/>
            </w:pPr>
            <w:r>
              <w:t xml:space="preserve">Mid-market; greenfield/first ERP</w:t>
            </w:r>
          </w:p>
        </w:tc>
      </w:tr>
      <w:tr>
        <w:tc>
          <w:tcPr/>
          <w:p>
            <w:pPr>
              <w:pStyle w:val="Compact"/>
            </w:pPr>
            <w:r>
              <w:t xml:space="preserve">Edition S/4HANA</w:t>
            </w:r>
          </w:p>
        </w:tc>
        <w:tc>
          <w:tcPr/>
          <w:p>
            <w:pPr>
              <w:pStyle w:val="Compact"/>
            </w:pPr>
            <w:r>
              <w:t xml:space="preserve">Private Edition (dedicated)</w:t>
            </w:r>
          </w:p>
        </w:tc>
        <w:tc>
          <w:tcPr/>
          <w:p>
            <w:pPr>
              <w:pStyle w:val="Compact"/>
            </w:pPr>
            <w:r>
              <w:t xml:space="preserve">Public Edition (multi-tenant)</w:t>
            </w:r>
          </w:p>
        </w:tc>
      </w:tr>
      <w:tr>
        <w:tc>
          <w:tcPr/>
          <w:p>
            <w:pPr>
              <w:pStyle w:val="Compact"/>
            </w:pPr>
            <w:r>
              <w:t xml:space="preserve">Kustomisasi</w:t>
            </w:r>
          </w:p>
        </w:tc>
        <w:tc>
          <w:tcPr/>
          <w:p>
            <w:pPr>
              <w:pStyle w:val="Compact"/>
            </w:pPr>
            <w:r>
              <w:t xml:space="preserve">Diizinkan (ABAP Cloud + BTP)</w:t>
            </w:r>
          </w:p>
        </w:tc>
        <w:tc>
          <w:tcPr/>
          <w:p>
            <w:pPr>
              <w:pStyle w:val="Compact"/>
            </w:pPr>
            <w:r>
              <w:t xml:space="preserve">Sangat terbatas; ikuti SAP Best Practices</w:t>
            </w:r>
          </w:p>
        </w:tc>
      </w:tr>
      <w:tr>
        <w:tc>
          <w:tcPr/>
          <w:p>
            <w:pPr>
              <w:pStyle w:val="Compact"/>
            </w:pPr>
            <w:r>
              <w:t xml:space="preserve">Durasi implementasi</w:t>
            </w:r>
          </w:p>
        </w:tc>
        <w:tc>
          <w:tcPr/>
          <w:p>
            <w:pPr>
              <w:pStyle w:val="Compact"/>
            </w:pPr>
            <w:r>
              <w:t xml:space="preserve">12–18 bulan</w:t>
            </w:r>
          </w:p>
        </w:tc>
        <w:tc>
          <w:tcPr/>
          <w:p>
            <w:pPr>
              <w:pStyle w:val="Compact"/>
            </w:pPr>
            <w:r>
              <w:t xml:space="preserve">3–6 bulan</w:t>
            </w:r>
          </w:p>
        </w:tc>
      </w:tr>
      <w:tr>
        <w:tc>
          <w:tcPr/>
          <w:p>
            <w:pPr>
              <w:pStyle w:val="Compact"/>
            </w:pPr>
            <w:r>
              <w:t xml:space="preserve">Model biaya</w:t>
            </w:r>
          </w:p>
        </w:tc>
        <w:tc>
          <w:tcPr/>
          <w:p>
            <w:pPr>
              <w:pStyle w:val="Compact"/>
            </w:pPr>
            <w:r>
              <w:t xml:space="preserve">One invoice; lebih tinggi secara total</w:t>
            </w:r>
          </w:p>
        </w:tc>
        <w:tc>
          <w:tcPr/>
          <w:p>
            <w:pPr>
              <w:pStyle w:val="Compact"/>
            </w:pPr>
            <w:r>
              <w:t xml:space="preserve">Lebih rendah; cocok untuk OpEx ketat</w:t>
            </w:r>
          </w:p>
        </w:tc>
      </w:tr>
      <w:tr>
        <w:tc>
          <w:tcPr/>
          <w:p>
            <w:pPr>
              <w:pStyle w:val="Compact"/>
            </w:pPr>
            <w:r>
              <w:t xml:space="preserve">Update/upgrade</w:t>
            </w:r>
          </w:p>
        </w:tc>
        <w:tc>
          <w:tcPr/>
          <w:p>
            <w:pPr>
              <w:pStyle w:val="Compact"/>
            </w:pPr>
            <w:r>
              <w:t xml:space="preserve">Terkontrol (private)</w:t>
            </w:r>
          </w:p>
        </w:tc>
        <w:tc>
          <w:tcPr/>
          <w:p>
            <w:pPr>
              <w:pStyle w:val="Compact"/>
            </w:pPr>
            <w:r>
              <w:t xml:space="preserve">Mandatory 2x/tahun oleh SAP</w:t>
            </w:r>
          </w:p>
        </w:tc>
      </w:tr>
    </w:tbl>
    <w:p>
      <w:pPr>
        <w:pStyle w:val="BodyText"/>
      </w:pPr>
      <w:r>
        <w:t xml:space="preserve">Satu hal yang sering disalahpahami: RISE</w:t>
      </w:r>
      <w:r>
        <w:t xml:space="preserve"> </w:t>
      </w:r>
      <w:r>
        <w:rPr>
          <w:i/>
          <w:iCs/>
        </w:rPr>
        <w:t xml:space="preserve">bukan</w:t>
      </w:r>
      <w:r>
        <w:t xml:space="preserve"> </w:t>
      </w:r>
      <w:r>
        <w:t xml:space="preserve">satu harga. Pricing-nya adalah negosiasi antara SAP, partner, dan perusahaan; tidak ada tarif</w:t>
      </w:r>
      <w:r>
        <w:t xml:space="preserve"> </w:t>
      </w:r>
      <w:r>
        <w:rPr>
          <w:i/>
          <w:iCs/>
        </w:rPr>
        <w:t xml:space="preserve">list price</w:t>
      </w:r>
      <w:r>
        <w:t xml:space="preserve"> </w:t>
      </w:r>
      <w:r>
        <w:t xml:space="preserve">per</w:t>
      </w:r>
      <w:r>
        <w:t xml:space="preserve"> </w:t>
      </w:r>
      <w:r>
        <w:rPr>
          <w:i/>
          <w:iCs/>
        </w:rPr>
        <w:t xml:space="preserve">user</w:t>
      </w:r>
      <w:r>
        <w:t xml:space="preserve"> </w:t>
      </w:r>
      <w:r>
        <w:t xml:space="preserve">yang dipublikasikan. Perbandingan</w:t>
      </w:r>
      <w:r>
        <w:t xml:space="preserve"> </w:t>
      </w:r>
      <w:r>
        <w:t xml:space="preserve">“RISE vs on-prem”</w:t>
      </w:r>
      <w:r>
        <w:t xml:space="preserve"> </w:t>
      </w:r>
      <w:r>
        <w:t xml:space="preserve">sangat kontekstual dan membutuhkan</w:t>
      </w:r>
      <w:r>
        <w:t xml:space="preserve"> </w:t>
      </w:r>
      <w:r>
        <w:rPr>
          <w:i/>
          <w:iCs/>
        </w:rPr>
        <w:t xml:space="preserve">assessment</w:t>
      </w:r>
      <w:r>
        <w:t xml:space="preserve"> </w:t>
      </w:r>
      <w:r>
        <w:t xml:space="preserve">khusus.</w:t>
      </w:r>
    </w:p>
    <w:p>
      <w:pPr>
        <w:pStyle w:val="BodyText"/>
      </w:pPr>
      <w:r>
        <w:t xml:space="preserve">GROW menarik karena biaya lebih rendah dan implementasi lebih cepat. Tapi tidak semua mid-market cocok di sana. Perusahaan dengan alur produksi yang sangat unik mungkin lebih tepat menggunakan RISE Private Edition meski lebih mahal. Pilihan ditentukan oleh kompleksitas proses bisnis, bukan semata ukuran perusahaan.</w:t>
      </w:r>
    </w:p>
    <w:bookmarkEnd w:id="24"/>
    <w:bookmarkStart w:id="32" w:name="faq-pertanyaan-yang-sering-diajukan"/>
    <w:p>
      <w:pPr>
        <w:pStyle w:val="Heading2"/>
      </w:pPr>
      <w:r>
        <w:t xml:space="preserve">FAQ (Pertanyaan yang Sering Diajukan)</w:t>
      </w:r>
    </w:p>
    <w:bookmarkStart w:id="25" w:name="Xc0f83b94559e99847e45904e7879bc3f294602b"/>
    <w:p>
      <w:pPr>
        <w:pStyle w:val="Heading3"/>
      </w:pPr>
      <w:r>
        <w:t xml:space="preserve">Apa saja komponen biaya migrasi ERP ke cloud?</w:t>
      </w:r>
    </w:p>
    <w:p>
      <w:pPr>
        <w:pStyle w:val="FirstParagraph"/>
      </w:pPr>
      <w:r>
        <w:t xml:space="preserve">Ada enam kelompok utama: (1) lisensi cloud (subscription bulanan/tahunan), (2) biaya konsultasi dan implementasi, (3) infrastruktur, (4) migrasi dan pembersihan data, (5) pelatihan pengguna, serta (6)</w:t>
      </w:r>
      <w:r>
        <w:t xml:space="preserve"> </w:t>
      </w:r>
      <w:r>
        <w:rPr>
          <w:i/>
          <w:iCs/>
        </w:rPr>
        <w:t xml:space="preserve">Application Management Services</w:t>
      </w:r>
      <w:r>
        <w:t xml:space="preserve"> </w:t>
      </w:r>
      <w:r>
        <w:t xml:space="preserve">(AMS) pasca go-live. Banyak perusahaan hanya menganggarkan lisensi dan implementasi, sehingga biaya aktual sering melebihi proyeksi.</w:t>
      </w:r>
    </w:p>
    <w:bookmarkEnd w:id="25"/>
    <w:bookmarkStart w:id="26" w:name="X579a70e5664aefcd6d89476aad9d86464093de1"/>
    <w:p>
      <w:pPr>
        <w:pStyle w:val="Heading3"/>
      </w:pPr>
      <w:r>
        <w:t xml:space="preserve">Apakah subscription cloud ERP lebih hemat dibanding lisensi on-premise?</w:t>
      </w:r>
    </w:p>
    <w:p>
      <w:pPr>
        <w:pStyle w:val="FirstParagraph"/>
      </w:pPr>
      <w:r>
        <w:t xml:space="preserve">Bergantung pada jangka waktu. Dalam 5 tahun, cloud menghilangkan biaya</w:t>
      </w:r>
      <w:r>
        <w:t xml:space="preserve"> </w:t>
      </w:r>
      <w:r>
        <w:rPr>
          <w:i/>
          <w:iCs/>
        </w:rPr>
        <w:t xml:space="preserve">hardware refresh</w:t>
      </w:r>
      <w:r>
        <w:t xml:space="preserve"> </w:t>
      </w:r>
      <w:r>
        <w:t xml:space="preserve">(tiap ~5 tahun) dan memberikan biaya yang lebih dapat diprediksi. Keunggulan finansial umumnya mulai terasa pada tahun ke-3 untuk mid-market dan tahun ke-4 untuk enterprise besar; titik itulah yang disebut</w:t>
      </w:r>
      <w:r>
        <w:t xml:space="preserve"> </w:t>
      </w:r>
      <w:r>
        <w:rPr>
          <w:i/>
          <w:iCs/>
        </w:rPr>
        <w:t xml:space="preserve">break-even</w:t>
      </w:r>
      <w:r>
        <w:t xml:space="preserve">.</w:t>
      </w:r>
    </w:p>
    <w:bookmarkEnd w:id="26"/>
    <w:bookmarkStart w:id="27" w:name="X5b2f9fc8465f20b1d89b992630546f1a32cde3b"/>
    <w:p>
      <w:pPr>
        <w:pStyle w:val="Heading3"/>
      </w:pPr>
      <w:r>
        <w:t xml:space="preserve">Berapa biaya maintenance SAP ECC setelah 2027?</w:t>
      </w:r>
    </w:p>
    <w:p>
      <w:pPr>
        <w:pStyle w:val="FirstParagraph"/>
      </w:pPr>
      <w:r>
        <w:t xml:space="preserve">SAP mengakhiri mainstream maintenance SAP ECC pada 31 Desember 2027. Setelah itu tersedia</w:t>
      </w:r>
      <w:r>
        <w:t xml:space="preserve"> </w:t>
      </w:r>
      <w:r>
        <w:rPr>
          <w:i/>
          <w:iCs/>
        </w:rPr>
        <w:t xml:space="preserve">extended maintenance</w:t>
      </w:r>
      <w:r>
        <w:t xml:space="preserve"> </w:t>
      </w:r>
      <w:r>
        <w:t xml:space="preserve">hingga 2030 dengan biaya tambahan (</w:t>
      </w:r>
      <w:r>
        <w:rPr>
          <w:i/>
          <w:iCs/>
        </w:rPr>
        <w:t xml:space="preserve">surcharge</w:t>
      </w:r>
      <w:r>
        <w:t xml:space="preserve">) di atas tarif standar yang sendiri sudah sekitar 22% dari nilai lisensi per tahun (SAP Support Portal). Perusahaan yang menunda migrasi menanggung beban ekstra ini tanpa mendapat fitur baru.</w:t>
      </w:r>
    </w:p>
    <w:bookmarkEnd w:id="27"/>
    <w:bookmarkStart w:id="28" w:name="Xd4acf9e2a57115daae14730654c84827de33a22"/>
    <w:p>
      <w:pPr>
        <w:pStyle w:val="Heading3"/>
      </w:pPr>
      <w:r>
        <w:t xml:space="preserve">Kapan investasi cloud ERP mulai balik modal?</w:t>
      </w:r>
    </w:p>
    <w:p>
      <w:pPr>
        <w:pStyle w:val="FirstParagraph"/>
      </w:pPr>
      <w:r>
        <w:t xml:space="preserve">Tidak ada angka pasti; variabilitas tinggi bergantung pada profil perusahaan. Sebagai kerangka perencanaan: mid-market yang memilih GROW with SAP dengan proses bisnis standar biasanya mencapai</w:t>
      </w:r>
      <w:r>
        <w:t xml:space="preserve"> </w:t>
      </w:r>
      <w:r>
        <w:rPr>
          <w:i/>
          <w:iCs/>
        </w:rPr>
        <w:t xml:space="preserve">break-even</w:t>
      </w:r>
      <w:r>
        <w:t xml:space="preserve"> </w:t>
      </w:r>
      <w:r>
        <w:t xml:space="preserve">dalam 3 tahun sejak go-live. Enterprise besar dengan proyek</w:t>
      </w:r>
      <w:r>
        <w:t xml:space="preserve"> </w:t>
      </w:r>
      <w:r>
        <w:rPr>
          <w:i/>
          <w:iCs/>
        </w:rPr>
        <w:t xml:space="preserve">brownfield</w:t>
      </w:r>
      <w:r>
        <w:t xml:space="preserve"> </w:t>
      </w:r>
      <w:r>
        <w:t xml:space="preserve">menggunakan RISE with SAP umumnya di tahun ke-4. Semakin tinggi biaya implementasi, semakin lama BEP tercapai.</w:t>
      </w:r>
    </w:p>
    <w:bookmarkEnd w:id="28"/>
    <w:bookmarkStart w:id="29" w:name="X095ff9302a8c04ff5c1842834b9231605b0bb0c"/>
    <w:p>
      <w:pPr>
        <w:pStyle w:val="Heading3"/>
      </w:pPr>
      <w:r>
        <w:t xml:space="preserve">Apa biaya tersembunyi yang paling sering terlewat dalam proyek ERP?</w:t>
      </w:r>
    </w:p>
    <w:p>
      <w:pPr>
        <w:pStyle w:val="FirstParagraph"/>
      </w:pPr>
      <w:r>
        <w:t xml:space="preserve">Lima yang paling sering membuat proyek membengkak: (1) pembersihan data yang bisa memakan 30–40% dari</w:t>
      </w:r>
      <w:r>
        <w:t xml:space="preserve"> </w:t>
      </w:r>
      <w:r>
        <w:rPr>
          <w:i/>
          <w:iCs/>
        </w:rPr>
        <w:t xml:space="preserve">timeline</w:t>
      </w:r>
      <w:r>
        <w:t xml:space="preserve">; (2) remediasi kode kustom ABAP warisan; (3) integrasi dengan sistem non-SAP; (4)</w:t>
      </w:r>
      <w:r>
        <w:t xml:space="preserve"> </w:t>
      </w:r>
      <w:r>
        <w:rPr>
          <w:i/>
          <w:iCs/>
        </w:rPr>
        <w:t xml:space="preserve">change management</w:t>
      </w:r>
      <w:r>
        <w:t xml:space="preserve"> </w:t>
      </w:r>
      <w:r>
        <w:t xml:space="preserve">dan pelatihan yang kurang dianggarkan; (5) tidak ada cadangan</w:t>
      </w:r>
      <w:r>
        <w:t xml:space="preserve"> </w:t>
      </w:r>
      <w:r>
        <w:rPr>
          <w:i/>
          <w:iCs/>
        </w:rPr>
        <w:t xml:space="preserve">contingency</w:t>
      </w:r>
      <w:r>
        <w:t xml:space="preserve"> </w:t>
      </w:r>
      <w:r>
        <w:t xml:space="preserve">untuk</w:t>
      </w:r>
      <w:r>
        <w:t xml:space="preserve"> </w:t>
      </w:r>
      <w:r>
        <w:rPr>
          <w:i/>
          <w:iCs/>
        </w:rPr>
        <w:t xml:space="preserve">go-live</w:t>
      </w:r>
      <w:r>
        <w:t xml:space="preserve"> </w:t>
      </w:r>
      <w:r>
        <w:t xml:space="preserve">bermasalah.</w:t>
      </w:r>
    </w:p>
    <w:bookmarkEnd w:id="29"/>
    <w:bookmarkStart w:id="30" w:name="X04b280556ca0a7d6547e596983c1b88689c04f5"/>
    <w:p>
      <w:pPr>
        <w:pStyle w:val="Heading3"/>
      </w:pPr>
      <w:r>
        <w:t xml:space="preserve">Apa perbedaan biaya antara RISE with SAP dan GROW with SAP?</w:t>
      </w:r>
    </w:p>
    <w:p>
      <w:pPr>
        <w:pStyle w:val="FirstParagraph"/>
      </w:pPr>
      <w:r>
        <w:t xml:space="preserve">RISE for enterprise: S/4HANA Cloud Private Edition, biaya lebih tinggi, kustomisasi diizinkan, implementasi 12–18 bulan. GROW for mid-market: S/4HANA Cloud Public Edition, biaya lebih rendah, implementasi 3–6 bulan, tetapi proses bisnis harus mengikuti SAP Best Practices. Pilihan ditentukan oleh kompleksitas proses, bukan semata ukuran perusahaan.</w:t>
      </w:r>
    </w:p>
    <w:bookmarkEnd w:id="30"/>
    <w:bookmarkStart w:id="31" w:name="X5eb60173a5ea83f4423c1db98a0faf28e14ab60"/>
    <w:p>
      <w:pPr>
        <w:pStyle w:val="Heading3"/>
      </w:pPr>
      <w:r>
        <w:t xml:space="preserve">Bagaimana cara menyusun business case migrasi ERP ke cloud?</w:t>
      </w:r>
    </w:p>
    <w:p>
      <w:pPr>
        <w:pStyle w:val="FirstParagraph"/>
      </w:pPr>
      <w:r>
        <w:t xml:space="preserve">Bandingkan dua skenario selama 5 tahun secara setara: (A) bertahan di ECC, termasuk</w:t>
      </w:r>
      <w:r>
        <w:t xml:space="preserve"> </w:t>
      </w:r>
      <w:r>
        <w:rPr>
          <w:i/>
          <w:iCs/>
        </w:rPr>
        <w:t xml:space="preserve">extended maintenance</w:t>
      </w:r>
      <w:r>
        <w:t xml:space="preserve"> </w:t>
      </w:r>
      <w:r>
        <w:t xml:space="preserve">2028–2030 dengan surcharge-nya,</w:t>
      </w:r>
      <w:r>
        <w:t xml:space="preserve"> </w:t>
      </w:r>
      <w:r>
        <w:rPr>
          <w:i/>
          <w:iCs/>
        </w:rPr>
        <w:t xml:space="preserve">hardware refresh</w:t>
      </w:r>
      <w:r>
        <w:t xml:space="preserve">, dan IT staff; versus (B) migrasi ke cloud, mencakup implementasi, lisensi</w:t>
      </w:r>
      <w:r>
        <w:t xml:space="preserve"> </w:t>
      </w:r>
      <w:r>
        <w:rPr>
          <w:i/>
          <w:iCs/>
        </w:rPr>
        <w:t xml:space="preserve">subscription</w:t>
      </w:r>
      <w:r>
        <w:t xml:space="preserve">, AMS, dan integrasi. Tambahkan manfaat: efisiensi operasional dan pengurangan risiko keamanan. Hasilnya: estimasi</w:t>
      </w:r>
      <w:r>
        <w:t xml:space="preserve"> </w:t>
      </w:r>
      <w:r>
        <w:rPr>
          <w:i/>
          <w:iCs/>
        </w:rPr>
        <w:t xml:space="preserve">break-even year</w:t>
      </w:r>
      <w:r>
        <w:t xml:space="preserve"> </w:t>
      </w:r>
      <w:r>
        <w:t xml:space="preserve">dan NPV investasi.</w:t>
      </w:r>
    </w:p>
    <w:p>
      <w:r>
        <w:pict>
          <v:rect style="width:0;height:1.5pt" o:hralign="center" o:hrstd="t" o:hr="t"/>
        </w:pict>
      </w:r>
    </w:p>
    <w:p>
      <w:pPr>
        <w:pStyle w:val="FirstParagraph"/>
      </w:pPr>
      <w:r>
        <w:t xml:space="preserve">Biaya migrasi ERP ke cloud tidak bisa dijawab dengan satu angka, tapi bisa dijawab dengan kerangka yang jujur: investasi awal lebih tinggi dari yang terlihat di proposal,</w:t>
      </w:r>
      <w:r>
        <w:t xml:space="preserve"> </w:t>
      </w:r>
      <w:r>
        <w:rPr>
          <w:i/>
          <w:iCs/>
        </w:rPr>
        <w:t xml:space="preserve">break-even</w:t>
      </w:r>
      <w:r>
        <w:t xml:space="preserve"> </w:t>
      </w:r>
      <w:r>
        <w:t xml:space="preserve">butuh 3–4 tahun, dan ada komponen tersembunyi yang nyata. Sebaliknya, bertahan di ECC melewati 2027 bukan tanpa biaya;</w:t>
      </w:r>
      <w:r>
        <w:t xml:space="preserve"> </w:t>
      </w:r>
      <w:r>
        <w:rPr>
          <w:i/>
          <w:iCs/>
        </w:rPr>
        <w:t xml:space="preserve">extended maintenance</w:t>
      </w:r>
      <w:r>
        <w:t xml:space="preserve"> </w:t>
      </w:r>
      <w:r>
        <w:t xml:space="preserve">dan risiko keamanan adalah beban yang terus tumbuh. Sebagai SAP Platinum Partner melalui United VARs, Soltius membantu tim eksekutif menyusun</w:t>
      </w:r>
      <w:r>
        <w:t xml:space="preserve"> </w:t>
      </w:r>
      <w:r>
        <w:rPr>
          <w:i/>
          <w:iCs/>
        </w:rPr>
        <w:t xml:space="preserve">business case</w:t>
      </w:r>
      <w:r>
        <w:t xml:space="preserve"> </w:t>
      </w:r>
      <w:r>
        <w:t xml:space="preserve">berbasis TCO 5 tahun — membandingkan total biaya mempertahankan ECC versus migrasi ke S/4HANA Cloud secara setara, dari ERP Strategy hingga AMS pasca go-live.</w:t>
      </w:r>
    </w:p>
    <w:p>
      <w:pPr>
        <w:pStyle w:val="BodyText"/>
      </w:pPr>
      <w:r>
        <w:t xml:space="preserve">Untuk memulai diskusi tentang kalkulasi TCO dan pilihan jalur migrasi yang tepat bagi perusahaan Anda,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clean-core-the-complete-guide" TargetMode="External" /><Relationship Type="http://schemas.openxmlformats.org/officeDocument/2006/relationships/hyperlink" Id="rId20"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clean-core-the-complete-guide" TargetMode="External" /><Relationship Type="http://schemas.openxmlformats.org/officeDocument/2006/relationships/hyperlink" Id="rId20"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2026-06-02T19:08:22Z</dcterms:created>
  <dcterms:modified xsi:type="dcterms:W3CDTF">2026-06-02T19:08:22Z</dcterms:modified>
</cp:coreProperties>
</file>

<file path=docProps/custom.xml><?xml version="1.0" encoding="utf-8"?>
<Properties xmlns="http://schemas.openxmlformats.org/officeDocument/2006/custom-properties" xmlns:vt="http://schemas.openxmlformats.org/officeDocument/2006/docPropsVTypes"/>
</file>