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"ROI Business Intelligence: Cara Menyusun dan Mengukur Nilai Investasinya"</w:t>
      </w:r>
      <w:r>
        <w:br/>
      </w:r>
      <w:r>
        <w:rPr>
          <w:rStyle w:val="FunctionTok"/>
        </w:rPr>
        <w:t xml:space="preserve">meta_title</w:t>
      </w:r>
      <w:r>
        <w:rPr>
          <w:rStyle w:val="KeywordTok"/>
        </w:rPr>
        <w:t xml:space="preserve">:</w:t>
      </w:r>
      <w:r>
        <w:rPr>
          <w:rStyle w:val="AttributeTok"/>
        </w:rPr>
        <w:t xml:space="preserve"> </w:t>
      </w:r>
      <w:r>
        <w:rPr>
          <w:rStyle w:val="StringTok"/>
        </w:rPr>
        <w:t xml:space="preserve">"ROI Business Intelligence: Susun &amp; Ukur Nilainya"</w:t>
      </w:r>
      <w:r>
        <w:br/>
      </w:r>
      <w:r>
        <w:rPr>
          <w:rStyle w:val="FunctionTok"/>
        </w:rPr>
        <w:t xml:space="preserve">meta_description</w:t>
      </w:r>
      <w:r>
        <w:rPr>
          <w:rStyle w:val="KeywordTok"/>
        </w:rPr>
        <w:t xml:space="preserve">:</w:t>
      </w:r>
      <w:r>
        <w:rPr>
          <w:rStyle w:val="AttributeTok"/>
        </w:rPr>
        <w:t xml:space="preserve"> </w:t>
      </w:r>
      <w:r>
        <w:rPr>
          <w:rStyle w:val="StringTok"/>
        </w:rPr>
        <w:t xml:space="preserve">"Cara menyusun business case dan menghitung ROI Business Intelligence: komponen biaya, manfaat tangible vs intangible, rumus payback, dan metrik pasca go-live."</w:t>
      </w:r>
      <w:r>
        <w:br/>
      </w:r>
      <w:r>
        <w:rPr>
          <w:rStyle w:val="FunctionTok"/>
        </w:rPr>
        <w:t xml:space="preserve">slug</w:t>
      </w:r>
      <w:r>
        <w:rPr>
          <w:rStyle w:val="KeywordTok"/>
        </w:rPr>
        <w:t xml:space="preserve">:</w:t>
      </w:r>
      <w:r>
        <w:rPr>
          <w:rStyle w:val="AttributeTok"/>
        </w:rPr>
        <w:t xml:space="preserve"> </w:t>
      </w:r>
      <w:r>
        <w:rPr>
          <w:rStyle w:val="StringTok"/>
        </w:rPr>
        <w:t xml:space="preserve">"roi-business-intelligence-business-case"</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"Business Intelligence"</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"ROI business intelligence"</w:t>
      </w:r>
      <w:r>
        <w:br/>
      </w:r>
      <w:r>
        <w:rPr>
          <w:rStyle w:val="AttributeTok"/>
        </w:rPr>
        <w:t xml:space="preserve">  </w:t>
      </w:r>
      <w:r>
        <w:rPr>
          <w:rStyle w:val="KeywordTok"/>
        </w:rPr>
        <w:t xml:space="preserve">-</w:t>
      </w:r>
      <w:r>
        <w:rPr>
          <w:rStyle w:val="AttributeTok"/>
        </w:rPr>
        <w:t xml:space="preserve"> </w:t>
      </w:r>
      <w:r>
        <w:rPr>
          <w:rStyle w:val="StringTok"/>
        </w:rPr>
        <w:t xml:space="preserve">"business case BI"</w:t>
      </w:r>
      <w:r>
        <w:br/>
      </w:r>
      <w:r>
        <w:rPr>
          <w:rStyle w:val="AttributeTok"/>
        </w:rPr>
        <w:t xml:space="preserve">  </w:t>
      </w:r>
      <w:r>
        <w:rPr>
          <w:rStyle w:val="KeywordTok"/>
        </w:rPr>
        <w:t xml:space="preserve">-</w:t>
      </w:r>
      <w:r>
        <w:rPr>
          <w:rStyle w:val="AttributeTok"/>
        </w:rPr>
        <w:t xml:space="preserve"> </w:t>
      </w:r>
      <w:r>
        <w:rPr>
          <w:rStyle w:val="StringTok"/>
        </w:rPr>
        <w:t xml:space="preserve">"TCO business intelligence"</w:t>
      </w:r>
      <w:r>
        <w:br/>
      </w:r>
      <w:r>
        <w:rPr>
          <w:rStyle w:val="AttributeTok"/>
        </w:rPr>
        <w:t xml:space="preserve">  </w:t>
      </w:r>
      <w:r>
        <w:rPr>
          <w:rStyle w:val="KeywordTok"/>
        </w:rPr>
        <w:t xml:space="preserve">-</w:t>
      </w:r>
      <w:r>
        <w:rPr>
          <w:rStyle w:val="AttributeTok"/>
        </w:rPr>
        <w:t xml:space="preserve"> </w:t>
      </w:r>
      <w:r>
        <w:rPr>
          <w:rStyle w:val="StringTok"/>
        </w:rPr>
        <w:t xml:space="preserve">"payback period BI"</w:t>
      </w:r>
      <w:r>
        <w:br/>
      </w:r>
      <w:r>
        <w:rPr>
          <w:rStyle w:val="AttributeTok"/>
        </w:rPr>
        <w:t xml:space="preserve">  </w:t>
      </w:r>
      <w:r>
        <w:rPr>
          <w:rStyle w:val="KeywordTok"/>
        </w:rPr>
        <w:t xml:space="preserve">-</w:t>
      </w:r>
      <w:r>
        <w:rPr>
          <w:rStyle w:val="AttributeTok"/>
        </w:rPr>
        <w:t xml:space="preserve"> </w:t>
      </w:r>
      <w:r>
        <w:rPr>
          <w:rStyle w:val="StringTok"/>
        </w:rPr>
        <w:t xml:space="preserve">"manfaat tangible vs intangible"</w:t>
      </w:r>
      <w:r>
        <w:br/>
      </w:r>
      <w:r>
        <w:rPr>
          <w:rStyle w:val="AttributeTok"/>
        </w:rPr>
        <w:t xml:space="preserve">  </w:t>
      </w:r>
      <w:r>
        <w:rPr>
          <w:rStyle w:val="KeywordTok"/>
        </w:rPr>
        <w:t xml:space="preserve">-</w:t>
      </w:r>
      <w:r>
        <w:rPr>
          <w:rStyle w:val="AttributeTok"/>
        </w:rPr>
        <w:t xml:space="preserve"> </w:t>
      </w:r>
      <w:r>
        <w:rPr>
          <w:rStyle w:val="StringTok"/>
        </w:rPr>
        <w:t xml:space="preserve">"biaya implementasi BI"</w:t>
      </w:r>
      <w:r>
        <w:br/>
      </w:r>
      <w:r>
        <w:rPr>
          <w:rStyle w:val="AttributeTok"/>
        </w:rPr>
        <w:t xml:space="preserve">  </w:t>
      </w:r>
      <w:r>
        <w:rPr>
          <w:rStyle w:val="KeywordTok"/>
        </w:rPr>
        <w:t xml:space="preserve">-</w:t>
      </w:r>
      <w:r>
        <w:rPr>
          <w:rStyle w:val="AttributeTok"/>
        </w:rPr>
        <w:t xml:space="preserve"> </w:t>
      </w:r>
      <w:r>
        <w:rPr>
          <w:rStyle w:val="StringTok"/>
        </w:rPr>
        <w:t xml:space="preserve">"value realization"</w:t>
      </w:r>
      <w:r>
        <w:br/>
      </w:r>
      <w:r>
        <w:rPr>
          <w:rStyle w:val="AttributeTok"/>
        </w:rPr>
        <w:t xml:space="preserve">  </w:t>
      </w:r>
      <w:r>
        <w:rPr>
          <w:rStyle w:val="KeywordTok"/>
        </w:rPr>
        <w:t xml:space="preserve">-</w:t>
      </w:r>
      <w:r>
        <w:rPr>
          <w:rStyle w:val="AttributeTok"/>
        </w:rPr>
        <w:t xml:space="preserve"> </w:t>
      </w:r>
      <w:r>
        <w:rPr>
          <w:rStyle w:val="StringTok"/>
        </w:rPr>
        <w:t xml:space="preserve">"KPI keberhasilan BI"</w:t>
      </w:r>
      <w:r>
        <w:br/>
      </w:r>
      <w:r>
        <w:rPr>
          <w:rStyle w:val="AttributeTok"/>
        </w:rPr>
        <w:t xml:space="preserve">  </w:t>
      </w:r>
      <w:r>
        <w:rPr>
          <w:rStyle w:val="KeywordTok"/>
        </w:rPr>
        <w:t xml:space="preserve">-</w:t>
      </w:r>
      <w:r>
        <w:rPr>
          <w:rStyle w:val="AttributeTok"/>
        </w:rPr>
        <w:t xml:space="preserve"> </w:t>
      </w:r>
      <w:r>
        <w:rPr>
          <w:rStyle w:val="StringTok"/>
        </w:rPr>
        <w:t xml:space="preserve">"SAP Analytics Cloud"</w:t>
      </w:r>
      <w:r>
        <w:br/>
      </w:r>
      <w:r>
        <w:rPr>
          <w:rStyle w:val="AttributeTok"/>
        </w:rPr>
        <w:t xml:space="preserve">  </w:t>
      </w:r>
      <w:r>
        <w:rPr>
          <w:rStyle w:val="KeywordTok"/>
        </w:rPr>
        <w:t xml:space="preserve">-</w:t>
      </w:r>
      <w:r>
        <w:rPr>
          <w:rStyle w:val="AttributeTok"/>
        </w:rPr>
        <w:t xml:space="preserve"> </w:t>
      </w:r>
      <w:r>
        <w:rPr>
          <w:rStyle w:val="StringTok"/>
        </w:rPr>
        <w:t xml:space="preserve">"data-driven decision making"</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"https://www.soltius.co.id/id/blog/data-warehouse-solutions"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"Data Warehouse Solutions"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"https://www.gartner.com/en/newsroom/press-releases/2026-04-07-gartner-says-artificial-intelligence-projects-in-infrastructure-and-operations-stall-ahead-of-meaningful-roi-returns"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"Hanya 28% proyek AI/analytics yang berhasil penuh dan memenuhi ekspektasi ROI (survei Gartner, Nov-Des 2025)"</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"https://www.gartner.com/en/newsroom/press-releases/2025-02-26-lack-of-ai-ready-data-puts-ai-projects-at-risk"</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"Gartner memprediksi hingga 2026 organisasi akan menghentikan 60% proyek AI yang tidak didukung data siap-AI"</w:t>
      </w:r>
      <w:r>
        <w:br/>
      </w:r>
      <w:r>
        <w:rPr>
          <w:rStyle w:val="FunctionTok"/>
        </w:rPr>
        <w:t xml:space="preserve">brief_id</w:t>
      </w:r>
      <w:r>
        <w:rPr>
          <w:rStyle w:val="KeywordTok"/>
        </w:rPr>
        <w:t xml:space="preserve">:</w:t>
      </w:r>
      <w:r>
        <w:rPr>
          <w:rStyle w:val="AttributeTok"/>
        </w:rPr>
        <w:t xml:space="preserve"> </w:t>
      </w:r>
      <w:r>
        <w:rPr>
          <w:rStyle w:val="StringTok"/>
        </w:rPr>
        <w:t xml:space="preserve">"business-intelligence-05"</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date_modified</w:t>
      </w:r>
      <w:r>
        <w:rPr>
          <w:rStyle w:val="KeywordTok"/>
        </w:rPr>
        <w:t xml:space="preserve">:</w:t>
      </w:r>
      <w:r>
        <w:rPr>
          <w:rStyle w:val="AttributeTok"/>
        </w:rPr>
        <w:t xml:space="preserve"> </w:t>
      </w:r>
      <w:r>
        <w:rPr>
          <w:rStyle w:val="StringTok"/>
        </w:rPr>
        <w:t xml:space="preserve">"2026-06-08"</w:t>
      </w:r>
      <w:r>
        <w:br/>
      </w:r>
      <w:r>
        <w:rPr>
          <w:rStyle w:val="FunctionTok"/>
        </w:rPr>
        <w:t xml:space="preserve">word_count</w:t>
      </w:r>
      <w:r>
        <w:rPr>
          <w:rStyle w:val="KeywordTok"/>
        </w:rPr>
        <w:t xml:space="preserve">:</w:t>
      </w:r>
      <w:r>
        <w:rPr>
          <w:rStyle w:val="AttributeTok"/>
        </w:rPr>
        <w:t xml:space="preserve"> </w:t>
      </w:r>
      <w:r>
        <w:rPr>
          <w:rStyle w:val="DecValTok"/>
        </w:rPr>
        <w:t xml:space="preserve">1668</w:t>
      </w:r>
    </w:p>
    <w:p>
      <w:r>
        <w:pict>
          <v:rect style="width:0;height:1.5pt" o:hralign="center" o:hrstd="t" o:hr="t"/>
        </w:pict>
      </w:r>
    </w:p>
    <w:bookmarkEnd w:id="16"/>
    <w:bookmarkStart w:id="36" w:name="X8722a19b3a5a5ef7202935baadd8e227893d252"/>
    <w:p>
      <w:pPr>
        <w:pStyle w:val="Heading1"/>
      </w:pPr>
      <w:r>
        <w:t xml:space="preserve">ROI Business Intelligence: Cara Menyusun dan Mengukur Nilai Investasinya</w:t>
      </w:r>
    </w:p>
    <w:p>
      <w:pPr>
        <w:pStyle w:val="FirstParagraph"/>
      </w:pPr>
      <w:r>
        <w:t xml:space="preserve">Setiap pemimpin yang mengusulkan investasi</w:t>
      </w:r>
      <w:r>
        <w:t xml:space="preserve"> </w:t>
      </w:r>
      <w:r>
        <w:rPr>
          <w:b/>
          <w:bCs/>
        </w:rPr>
        <w:t xml:space="preserve">Business Intelligence</w:t>
      </w:r>
      <w:r>
        <w:t xml:space="preserve"> </w:t>
      </w:r>
      <w:r>
        <w:t xml:space="preserve">cepat atau lambat berhadapan dengan satu pertanyaan dari CFO:</w:t>
      </w:r>
      <w:r>
        <w:t xml:space="preserve"> </w:t>
      </w:r>
      <w:r>
        <w:t xml:space="preserve">“berapa kembaliannya?”</w:t>
      </w:r>
      <w:r>
        <w:t xml:space="preserve"> </w:t>
      </w:r>
      <w:r>
        <w:t xml:space="preserve">Banyak proposal mati di pertanyaan itu, bukan karena nilainya tidak ada, melainkan karena nilainya sulit diartikulasikan dalam angka. Artikel ini bukan ulasan fitur dashboard, melainkan kerangka praktis untuk menyusun</w:t>
      </w:r>
      <w:r>
        <w:t xml:space="preserve"> </w:t>
      </w:r>
      <w:r>
        <w:rPr>
          <w:i/>
          <w:iCs/>
        </w:rPr>
        <w:t xml:space="preserve">business case</w:t>
      </w:r>
      <w:r>
        <w:t xml:space="preserve"> </w:t>
      </w:r>
      <w:r>
        <w:t xml:space="preserve">dan mengukur ROI sistem</w:t>
      </w:r>
      <w:r>
        <w:t xml:space="preserve"> </w:t>
      </w:r>
      <w:hyperlink r:id="rId17">
        <w:r>
          <w:rPr>
            <w:rStyle w:val="Hyperlink"/>
          </w:rPr>
          <w:t xml:space="preserve">Business Intelligence</w:t>
        </w:r>
      </w:hyperlink>
      <w:r>
        <w:t xml:space="preserve">: komponen biaya yang sering tersembunyi, manfaat</w:t>
      </w:r>
      <w:r>
        <w:t xml:space="preserve"> </w:t>
      </w:r>
      <w:r>
        <w:rPr>
          <w:i/>
          <w:iCs/>
        </w:rPr>
        <w:t xml:space="preserve">tangible</w:t>
      </w:r>
      <w:r>
        <w:t xml:space="preserve"> </w:t>
      </w:r>
      <w:r>
        <w:t xml:space="preserve">versus</w:t>
      </w:r>
      <w:r>
        <w:t xml:space="preserve"> </w:t>
      </w:r>
      <w:r>
        <w:rPr>
          <w:i/>
          <w:iCs/>
        </w:rPr>
        <w:t xml:space="preserve">intangible</w:t>
      </w:r>
      <w:r>
        <w:t xml:space="preserve">, cara memperkirakan</w:t>
      </w:r>
      <w:r>
        <w:t xml:space="preserve"> </w:t>
      </w:r>
      <w:r>
        <w:rPr>
          <w:i/>
          <w:iCs/>
        </w:rPr>
        <w:t xml:space="preserve">payback</w:t>
      </w:r>
      <w:r>
        <w:t xml:space="preserve">, dan metrik untuk membuktikan nilai setelah</w:t>
      </w:r>
      <w:r>
        <w:t xml:space="preserve"> </w:t>
      </w:r>
      <w:r>
        <w:rPr>
          <w:i/>
          <w:iCs/>
        </w:rPr>
        <w:t xml:space="preserve">go-live</w:t>
      </w:r>
      <w:r>
        <w:t xml:space="preserve">.</w:t>
      </w:r>
    </w:p>
    <w:p>
      <w:pPr>
        <w:pStyle w:val="BlockText"/>
      </w:pPr>
      <w:r>
        <w:rPr>
          <w:b/>
          <w:bCs/>
        </w:rPr>
        <w:t xml:space="preserve">Secara singkat:</w:t>
      </w:r>
      <w:r>
        <w:t xml:space="preserve"> </w:t>
      </w:r>
      <w:r>
        <w:t xml:space="preserve">ROI Business Intelligence adalah ukuran nilai finansial dan operasional yang dihasilkan dari investasi dalam sistem BI — dihitung sebagai selisih antara total manfaat dan total biaya dibagi total biaya, dinyatakan dalam persentase. Karena sebagian besar manfaat BI bersifat tidak langsung dan terdistribusi di banyak keputusan, menyusun business case yang akurat membutuhkan metodologi yang disiplin.</w:t>
      </w:r>
    </w:p>
    <w:p>
      <w:pPr>
        <w:pStyle w:val="FirstParagraph"/>
      </w:pPr>
      <w:r>
        <w:t xml:space="preserve">Melalui artikel ini, kita akan membahas mengapa ROI BI sulit dihitung, komponen biaya apa saja yang masuk perhitungan, cara memberi angka pada manfaat yang tampak abstrak, lima langkah menyusun business case dengan contoh ilustratif, dan kapan sebenarnya ROI belum realistis untuk dikejar.</w:t>
      </w:r>
    </w:p>
    <w:p>
      <w:pPr>
        <w:pStyle w:val="BodyText"/>
      </w:pPr>
      <w:r>
        <w:rPr>
          <w:i/>
          <w:iCs/>
        </w:rPr>
        <w:t xml:space="preserve">[Image 01: Diagram stacked bar horizontal proporsi komponen biaya TCO Business Intelligence — segmen Lisensi, Implementasi &amp; Konsultasi, Integrasi &amp; Data Preparation (paling lebar, diberi highlight), Infrastruktur, Pelatihan, dan AMS. Tujuan visual: harga lisensi bukan satu-satunya biaya. Gaya infografik korporat biru-putih, label persentase kisaran, teks Bahasa Indonesia]</w:t>
      </w:r>
    </w:p>
    <w:bookmarkStart w:id="19" w:name="X7b1a38c7f662af92e31980ff6d8d45c38034712"/>
    <w:p>
      <w:pPr>
        <w:pStyle w:val="Heading2"/>
      </w:pPr>
      <w:r>
        <w:t xml:space="preserve">Apa Itu ROI Business Intelligence dan Mengapa Sulit Dihitung?</w:t>
      </w:r>
    </w:p>
    <w:p>
      <w:pPr>
        <w:pStyle w:val="FirstParagraph"/>
      </w:pPr>
      <w:r>
        <w:t xml:space="preserve">ROI Business Intelligence adalah nilai dari keputusan yang lebih baik dan proses yang lebih cepat, dikurangi total biaya membangun dan menjalankan sistemnya. Sulit dihitung bukan karena nilai itu tidak ada, melainkan karena nilainya terdistribusi: satu dashboard bisa memengaruhi puluhan keputusan di banyak tim, tanpa satu</w:t>
      </w:r>
      <w:r>
        <w:t xml:space="preserve"> </w:t>
      </w:r>
      <w:r>
        <w:t xml:space="preserve">“baris ROI”</w:t>
      </w:r>
      <w:r>
        <w:t xml:space="preserve"> </w:t>
      </w:r>
      <w:r>
        <w:t xml:space="preserve">yang mudah dilacak.</w:t>
      </w:r>
    </w:p>
    <w:p>
      <w:pPr>
        <w:pStyle w:val="BodyText"/>
      </w:pPr>
      <w:r>
        <w:t xml:space="preserve">Bukti bahwa pertanyaan CFO itu sah ada di datanya. Menurut survei Gartner terhadap 782 pemimpin Infrastructure &amp; Operations (November–Desember 2025),</w:t>
      </w:r>
      <w:r>
        <w:t xml:space="preserve"> </w:t>
      </w:r>
      <w:hyperlink r:id="rId18">
        <w:r>
          <w:rPr>
            <w:rStyle w:val="Hyperlink"/>
          </w:rPr>
          <w:t xml:space="preserve">hanya 28% proyek AI yang berhasil penuh dan memenuhi ekspektasi ROI</w:t>
        </w:r>
      </w:hyperlink>
      <w:r>
        <w:t xml:space="preserve">, sementara 20% gagal total. Angka itu untuk proyek AI di ranah I&amp;O, bukan BI murni, tetapi pelajarannya identik: nilai yang tidak diartikulasikan di awal jarang muncul di akhir.</w:t>
      </w:r>
    </w:p>
    <w:p>
      <w:pPr>
        <w:pStyle w:val="BodyText"/>
      </w:pPr>
      <w:r>
        <w:t xml:space="preserve">Inilah jebakan yang membuat banyak proyek BI tampak</w:t>
      </w:r>
      <w:r>
        <w:t xml:space="preserve"> </w:t>
      </w:r>
      <w:r>
        <w:t xml:space="preserve">“gagal”</w:t>
      </w:r>
      <w:r>
        <w:t xml:space="preserve"> </w:t>
      </w:r>
      <w:r>
        <w:t xml:space="preserve">padahal sebenarnya tidak pernah diukur dengan jujur. Klaim</w:t>
      </w:r>
      <w:r>
        <w:t xml:space="preserve"> </w:t>
      </w:r>
      <w:r>
        <w:t xml:space="preserve">“ROI 200–500%”</w:t>
      </w:r>
      <w:r>
        <w:t xml:space="preserve"> </w:t>
      </w:r>
      <w:r>
        <w:t xml:space="preserve">yang beredar di banyak blog vendor umumnya adalah studi kasus</w:t>
      </w:r>
      <w:r>
        <w:t xml:space="preserve"> </w:t>
      </w:r>
      <w:r>
        <w:rPr>
          <w:i/>
          <w:iCs/>
        </w:rPr>
        <w:t xml:space="preserve">cherry-picked</w:t>
      </w:r>
      <w:r>
        <w:t xml:space="preserve"> </w:t>
      </w:r>
      <w:r>
        <w:t xml:space="preserve">pada perusahaan yang sudah matang secara data, bukan rata-rata yang wajar Anda asumsikan. Business case yang jujur tidak mengklaim seluruh nilai sistem; ia memilih dua atau tiga manfaat yang paling dapat diukur dan membangun kasusnya di situ.</w:t>
      </w:r>
    </w:p>
    <w:bookmarkEnd w:id="19"/>
    <w:bookmarkStart w:id="21" w:name="X90f1c0b78fd1c98fcd432e620ef223ee750aca5"/>
    <w:p>
      <w:pPr>
        <w:pStyle w:val="Heading2"/>
      </w:pPr>
      <w:r>
        <w:t xml:space="preserve">Komponen Biaya Apa Saja dalam Investasi BI?</w:t>
      </w:r>
    </w:p>
    <w:p>
      <w:pPr>
        <w:pStyle w:val="FirstParagraph"/>
      </w:pPr>
      <w:r>
        <w:t xml:space="preserve">Biaya BI jauh lebih luas dari sekadar lisensi. Komponen utamanya mencakup lisensi atau langganan platform, implementasi dan konsultasi, integrasi serta persiapan data, infrastruktur, pelatihan dan</w:t>
      </w:r>
      <w:r>
        <w:t xml:space="preserve"> </w:t>
      </w:r>
      <w:r>
        <w:rPr>
          <w:i/>
          <w:iCs/>
        </w:rPr>
        <w:t xml:space="preserve">change management</w:t>
      </w:r>
      <w:r>
        <w:t xml:space="preserve">, hingga dukungan berjalan (AMS). Yang paling sering diremehkan justru bukan lisensi, melainkan persiapan data.</w:t>
      </w:r>
    </w:p>
    <w:p>
      <w:pPr>
        <w:pStyle w:val="BodyText"/>
      </w:pPr>
      <w:r>
        <w:t xml:space="preserve">Persiapan data adalah komponen tersembunyi terbesar. Penelitian industri secara konsisten menunjukkan tahap ini mengkonsumsi sekitar 50–80% anggaran atau beban kerja proyek analytics. Ini sebuah rentang, bukan angka tunggal yang pasti, tetapi cukup konsisten lintas sumber untuk dijadikan peringatan. Tanpa fondasi data yang rapi, biaya integrasi membengkak dan manfaat tertunda; di sinilah fondasi</w:t>
      </w:r>
      <w:r>
        <w:t xml:space="preserve"> </w:t>
      </w:r>
      <w:hyperlink r:id="rId20">
        <w:r>
          <w:rPr>
            <w:rStyle w:val="Hyperlink"/>
          </w:rPr>
          <w:t xml:space="preserve">Data Warehouse Solutions</w:t>
        </w:r>
      </w:hyperlink>
      <w:r>
        <w:t xml:space="preserve"> </w:t>
      </w:r>
      <w:r>
        <w:t xml:space="preserve">menentukan apakah BI Anda akan murah atau mahal untuk dijalankan.</w:t>
      </w:r>
    </w:p>
    <w:p>
      <w:pPr>
        <w:pStyle w:val="BodyText"/>
      </w:pPr>
      <w:r>
        <w:t xml:space="preserve">Komponen kedua yang sering luput: tenaga kerja. Menurut riset</w:t>
      </w:r>
      <w:r>
        <w:t xml:space="preserve"> </w:t>
      </w:r>
      <w:r>
        <w:rPr>
          <w:i/>
          <w:iCs/>
        </w:rPr>
        <w:t xml:space="preserve">Total Cost of Ownership</w:t>
      </w:r>
      <w:r>
        <w:t xml:space="preserve"> </w:t>
      </w:r>
      <w:r>
        <w:t xml:space="preserve">(TCO) BI dari Crozdesk, dalam tiga tahun pertama proyek, biaya tenaga kerja (</w:t>
      </w:r>
      <w:r>
        <w:rPr>
          <w:i/>
          <w:iCs/>
        </w:rPr>
        <w:t xml:space="preserve">data engineer</w:t>
      </w:r>
      <w:r>
        <w:t xml:space="preserve">,</w:t>
      </w:r>
      <w:r>
        <w:t xml:space="preserve"> </w:t>
      </w:r>
      <w:r>
        <w:rPr>
          <w:i/>
          <w:iCs/>
        </w:rPr>
        <w:t xml:space="preserve">BI developer</w:t>
      </w:r>
      <w:r>
        <w:t xml:space="preserve">, analis, dan pelatihan) rata-rata satu</w:t>
      </w:r>
      <w:r>
        <w:t xml:space="preserve"> </w:t>
      </w:r>
      <w:r>
        <w:rPr>
          <w:i/>
          <w:iCs/>
        </w:rPr>
        <w:t xml:space="preserve">order of magnitude</w:t>
      </w:r>
      <w:r>
        <w:t xml:space="preserve"> </w:t>
      </w:r>
      <w:r>
        <w:t xml:space="preserve">lebih besar dari biaya perangkat lunak itu sendiri. Artinya, menawar harga lisensi sambil mengabaikan biaya orang adalah salah fokus.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Komponen Biaya</w:t>
            </w:r>
          </w:p>
        </w:tc>
        <w:tc>
          <w:tcPr/>
          <w:p>
            <w:pPr>
              <w:pStyle w:val="Compact"/>
            </w:pPr>
            <w:r>
              <w:t xml:space="preserve">Keterangan</w:t>
            </w:r>
          </w:p>
        </w:tc>
        <w:tc>
          <w:tcPr/>
          <w:p>
            <w:pPr>
              <w:pStyle w:val="Compact"/>
            </w:pPr>
            <w:r>
              <w:t xml:space="preserve">Catatan</w:t>
            </w:r>
          </w:p>
        </w:tc>
      </w:tr>
      <w:tr>
        <w:tc>
          <w:tcPr/>
          <w:p>
            <w:pPr>
              <w:pStyle w:val="Compact"/>
            </w:pPr>
            <w:r>
              <w:t xml:space="preserve">Lisensi / Langganan</w:t>
            </w:r>
          </w:p>
        </w:tc>
        <w:tc>
          <w:tcPr/>
          <w:p>
            <w:pPr>
              <w:pStyle w:val="Compact"/>
            </w:pPr>
            <w:r>
              <w:t xml:space="preserve">Platform BI berbasis SaaS (per pengguna/bulan atau per kapasitas)</w:t>
            </w:r>
          </w:p>
        </w:tc>
        <w:tc>
          <w:tcPr/>
          <w:p>
            <w:pPr>
              <w:pStyle w:val="Compact"/>
            </w:pPr>
            <w:r>
              <w:t xml:space="preserve">Contoh: SAP Analytics Cloud, kini tersedia via SAP Business Data Cloud</w:t>
            </w:r>
          </w:p>
        </w:tc>
      </w:tr>
      <w:tr>
        <w:tc>
          <w:tcPr/>
          <w:p>
            <w:pPr>
              <w:pStyle w:val="Compact"/>
            </w:pPr>
            <w:r>
              <w:t xml:space="preserve">Implementasi &amp; Konsultasi</w:t>
            </w:r>
          </w:p>
        </w:tc>
        <w:tc>
          <w:tcPr/>
          <w:p>
            <w:pPr>
              <w:pStyle w:val="Compact"/>
            </w:pPr>
            <w:r>
              <w:t xml:space="preserve">Konfigurasi,</w:t>
            </w:r>
            <w:r>
              <w:t xml:space="preserve"> </w:t>
            </w:r>
            <w:r>
              <w:rPr>
                <w:i/>
                <w:iCs/>
              </w:rPr>
              <w:t xml:space="preserve">development</w:t>
            </w:r>
            <w:r>
              <w:t xml:space="preserve"> </w:t>
            </w:r>
            <w:r>
              <w:t xml:space="preserve">dashboard awal, koneksi sistem sumber</w:t>
            </w:r>
          </w:p>
        </w:tc>
        <w:tc>
          <w:tcPr/>
          <w:p>
            <w:pPr>
              <w:pStyle w:val="Compact"/>
            </w:pPr>
            <w:r>
              <w:t xml:space="preserve">Sering diremehkan;</w:t>
            </w:r>
            <w:r>
              <w:t xml:space="preserve"> </w:t>
            </w:r>
            <w:r>
              <w:rPr>
                <w:i/>
                <w:iCs/>
              </w:rPr>
              <w:t xml:space="preserve">scope creep</w:t>
            </w:r>
            <w:r>
              <w:t xml:space="preserve"> </w:t>
            </w:r>
            <w:r>
              <w:t xml:space="preserve">umum terjadi</w:t>
            </w:r>
          </w:p>
        </w:tc>
      </w:tr>
      <w:tr>
        <w:tc>
          <w:tcPr/>
          <w:p>
            <w:pPr>
              <w:pStyle w:val="Compact"/>
            </w:pPr>
            <w:r>
              <w:t xml:space="preserve">Integrasi &amp; Data Preparation</w:t>
            </w:r>
          </w:p>
        </w:tc>
        <w:tc>
          <w:tcPr/>
          <w:p>
            <w:pPr>
              <w:pStyle w:val="Compact"/>
            </w:pPr>
            <w:r>
              <w:t xml:space="preserve">ETL/ELT, koneksi ke ERP/CRM/database, pembersihan data</w:t>
            </w:r>
          </w:p>
        </w:tc>
        <w:tc>
          <w:tcPr/>
          <w:p>
            <w:pPr>
              <w:pStyle w:val="Compact"/>
            </w:pPr>
            <w:r>
              <w:t xml:space="preserve">Komponen tersembunyi terbesar: 50–80% anggaran/beban kerja</w:t>
            </w:r>
          </w:p>
        </w:tc>
      </w:tr>
      <w:tr>
        <w:tc>
          <w:tcPr/>
          <w:p>
            <w:pPr>
              <w:pStyle w:val="Compact"/>
            </w:pPr>
            <w:r>
              <w:t xml:space="preserve">Infrastruktur / Cloud</w:t>
            </w:r>
          </w:p>
        </w:tc>
        <w:tc>
          <w:tcPr/>
          <w:p>
            <w:pPr>
              <w:pStyle w:val="Compact"/>
            </w:pPr>
            <w:r>
              <w:rPr>
                <w:i/>
                <w:iCs/>
              </w:rPr>
              <w:t xml:space="preserve">Hosting</w:t>
            </w:r>
            <w:r>
              <w:t xml:space="preserve">,</w:t>
            </w:r>
            <w:r>
              <w:t xml:space="preserve"> </w:t>
            </w:r>
            <w:r>
              <w:rPr>
                <w:i/>
                <w:iCs/>
              </w:rPr>
              <w:t xml:space="preserve">storage</w:t>
            </w:r>
            <w:r>
              <w:t xml:space="preserve">, komputasi (jika</w:t>
            </w:r>
            <w:r>
              <w:t xml:space="preserve"> </w:t>
            </w:r>
            <w:r>
              <w:rPr>
                <w:i/>
                <w:iCs/>
              </w:rPr>
              <w:t xml:space="preserve">on-premise</w:t>
            </w:r>
            <w:r>
              <w:t xml:space="preserve"> </w:t>
            </w:r>
            <w:r>
              <w:t xml:space="preserve">atau hybrid)</w:t>
            </w:r>
          </w:p>
        </w:tc>
        <w:tc>
          <w:tcPr/>
          <w:p>
            <w:pPr>
              <w:pStyle w:val="Compact"/>
            </w:pPr>
            <w:r>
              <w:t xml:space="preserve">Cloud menekan</w:t>
            </w:r>
            <w:r>
              <w:t xml:space="preserve"> </w:t>
            </w:r>
            <w:r>
              <w:rPr>
                <w:i/>
                <w:iCs/>
              </w:rPr>
              <w:t xml:space="preserve">capex</w:t>
            </w:r>
            <w:r>
              <w:t xml:space="preserve"> </w:t>
            </w:r>
            <w:r>
              <w:t xml:space="preserve">tapi menambah</w:t>
            </w:r>
            <w:r>
              <w:t xml:space="preserve"> </w:t>
            </w:r>
            <w:r>
              <w:rPr>
                <w:i/>
                <w:iCs/>
              </w:rPr>
              <w:t xml:space="preserve">opex</w:t>
            </w:r>
            <w:r>
              <w:t xml:space="preserve"> </w:t>
            </w:r>
            <w:r>
              <w:t xml:space="preserve">berjalan</w:t>
            </w:r>
          </w:p>
        </w:tc>
      </w:tr>
      <w:tr>
        <w:tc>
          <w:tcPr/>
          <w:p>
            <w:pPr>
              <w:pStyle w:val="Compact"/>
            </w:pPr>
            <w:r>
              <w:t xml:space="preserve">Pelatihan &amp; Change Management</w:t>
            </w:r>
          </w:p>
        </w:tc>
        <w:tc>
          <w:tcPr/>
          <w:p>
            <w:pPr>
              <w:pStyle w:val="Compact"/>
            </w:pPr>
            <w:r>
              <w:rPr>
                <w:i/>
                <w:iCs/>
              </w:rPr>
              <w:t xml:space="preserve">Onboarding</w:t>
            </w:r>
            <w:r>
              <w:t xml:space="preserve"> </w:t>
            </w:r>
            <w:r>
              <w:t xml:space="preserve">pengguna, program adopsi</w:t>
            </w:r>
          </w:p>
        </w:tc>
        <w:tc>
          <w:tcPr/>
          <w:p>
            <w:pPr>
              <w:pStyle w:val="Compact"/>
            </w:pPr>
            <w:r>
              <w:t xml:space="preserve">Sering dipotong anggaran; langsung menggerus ROI</w:t>
            </w:r>
          </w:p>
        </w:tc>
      </w:tr>
      <w:tr>
        <w:tc>
          <w:tcPr/>
          <w:p>
            <w:pPr>
              <w:pStyle w:val="Compact"/>
            </w:pPr>
            <w:r>
              <w:t xml:space="preserve">AMS / Dukungan Berjalan</w:t>
            </w:r>
          </w:p>
        </w:tc>
        <w:tc>
          <w:tcPr/>
          <w:p>
            <w:pPr>
              <w:pStyle w:val="Compact"/>
            </w:pPr>
            <w:r>
              <w:t xml:space="preserve">Pemeliharaan,</w:t>
            </w:r>
            <w:r>
              <w:t xml:space="preserve"> </w:t>
            </w:r>
            <w:r>
              <w:rPr>
                <w:i/>
                <w:iCs/>
              </w:rPr>
              <w:t xml:space="preserve">update</w:t>
            </w:r>
            <w:r>
              <w:t xml:space="preserve">,</w:t>
            </w:r>
            <w:r>
              <w:t xml:space="preserve"> </w:t>
            </w:r>
            <w:r>
              <w:rPr>
                <w:i/>
                <w:iCs/>
              </w:rPr>
              <w:t xml:space="preserve">helpdesk</w:t>
            </w:r>
            <w:r>
              <w:t xml:space="preserve">, pengembangan lanjutan</w:t>
            </w:r>
          </w:p>
        </w:tc>
        <w:tc>
          <w:tcPr/>
          <w:p>
            <w:pPr>
              <w:pStyle w:val="Compact"/>
            </w:pPr>
            <w:r>
              <w:t xml:space="preserve">Biaya tahunan berulang; wajib masuk TCO 3 tahun</w:t>
            </w:r>
          </w:p>
        </w:tc>
      </w:tr>
    </w:tbl>
    <w:p>
      <w:pPr>
        <w:pStyle w:val="BodyText"/>
      </w:pPr>
      <w:r>
        <w:t xml:space="preserve">Catatan soal lisensi: SAP Analytics Cloud (SAC), solusi BI,</w:t>
      </w:r>
      <w:r>
        <w:t xml:space="preserve"> </w:t>
      </w:r>
      <w:r>
        <w:rPr>
          <w:i/>
          <w:iCs/>
        </w:rPr>
        <w:t xml:space="preserve">planning</w:t>
      </w:r>
      <w:r>
        <w:t xml:space="preserve">, dan</w:t>
      </w:r>
      <w:r>
        <w:t xml:space="preserve"> </w:t>
      </w:r>
      <w:r>
        <w:rPr>
          <w:i/>
          <w:iCs/>
        </w:rPr>
        <w:t xml:space="preserve">predictive analytics</w:t>
      </w:r>
      <w:r>
        <w:t xml:space="preserve"> </w:t>
      </w:r>
      <w:r>
        <w:t xml:space="preserve">milik SAP, sejak 1 Januari 2026 tidak lagi ditawarkan sebagai langganan baru yang berdiri sendiri, melainkan tersedia melalui SAP Business Data Cloud (pelanggan lama tidak terdampak). Ini perubahan pemaketan, bukan penghentian produk. Untuk artikel ini, SAC relevan sebagai contoh kategori biaya langganan SaaS, bukan untuk dibahas harganya.</w:t>
      </w:r>
    </w:p>
    <w:bookmarkEnd w:id="21"/>
    <w:bookmarkStart w:id="22" w:name="X5d918cfacee599be9dc1ccef86daeacaca1fe70"/>
    <w:p>
      <w:pPr>
        <w:pStyle w:val="Heading2"/>
      </w:pPr>
      <w:r>
        <w:t xml:space="preserve">Manfaat yang Bisa Diukur: Tangible vs Intangible</w:t>
      </w:r>
    </w:p>
    <w:p>
      <w:pPr>
        <w:pStyle w:val="FirstParagraph"/>
      </w:pPr>
      <w:r>
        <w:t xml:space="preserve">Manfaat BI terbagi dua:</w:t>
      </w:r>
      <w:r>
        <w:t xml:space="preserve"> </w:t>
      </w:r>
      <w:r>
        <w:rPr>
          <w:i/>
          <w:iCs/>
        </w:rPr>
        <w:t xml:space="preserve">tangible</w:t>
      </w:r>
      <w:r>
        <w:t xml:space="preserve"> </w:t>
      </w:r>
      <w:r>
        <w:t xml:space="preserve">(mudah dirupiahkan, seperti jam rekap yang dihemat, stok mati yang berkurang, atau DSO yang turun) dan</w:t>
      </w:r>
      <w:r>
        <w:t xml:space="preserve"> </w:t>
      </w:r>
      <w:r>
        <w:rPr>
          <w:i/>
          <w:iCs/>
        </w:rPr>
        <w:t xml:space="preserve">intangible</w:t>
      </w:r>
      <w:r>
        <w:t xml:space="preserve"> </w:t>
      </w:r>
      <w:r>
        <w:t xml:space="preserve">(kecepatan dan kualitas keputusan, keunggulan kompetitif). Kunci business case yang kuat adalah memberi</w:t>
      </w:r>
      <w:r>
        <w:t xml:space="preserve"> </w:t>
      </w:r>
      <w:r>
        <w:rPr>
          <w:i/>
          <w:iCs/>
        </w:rPr>
        <w:t xml:space="preserve">proxy</w:t>
      </w:r>
      <w:r>
        <w:t xml:space="preserve"> </w:t>
      </w:r>
      <w:r>
        <w:t xml:space="preserve">angka pada manfaat intangible, bukan menyerah mengukurnya.</w:t>
      </w:r>
    </w:p>
    <w:p>
      <w:pPr>
        <w:pStyle w:val="BodyText"/>
      </w:pPr>
      <w:r>
        <w:t xml:space="preserve">Manfaat tangible adalah tempat memulai karena paling mudah dipertahankan di depan CFO. Setiap manfaat dapat dipetakan ke formula sederhana: jam yang dihemat dikali tarif karyawan, persentase pengurangan stok mati dikali nilai rata-rata persediaan, atau hari DSO yang berkurang dikali rata-rata penjualan harian. Berbagai studi kasus industri menyebut percepatan siklus keputusan yang signifikan, sebagian mengutip pengambilan keputusan rata-rata</w:t>
      </w:r>
      <w:r>
        <w:t xml:space="preserve"> </w:t>
      </w:r>
      <w:r>
        <w:t xml:space="preserve">“5x lebih cepat”</w:t>
      </w:r>
      <w:r>
        <w:t xml:space="preserve">, meski angka ini berasal dari agregat vendor dan layak diperlakukan sebagai ilustrasi, bukan patokan presisi.</w:t>
      </w:r>
    </w:p>
    <w:p>
      <w:pPr>
        <w:pStyle w:val="BodyText"/>
      </w:pPr>
      <w:r>
        <w:t xml:space="preserve">Manfaat intangible tetap bisa diberi angka melalui</w:t>
      </w:r>
      <w:r>
        <w:t xml:space="preserve"> </w:t>
      </w:r>
      <w:r>
        <w:rPr>
          <w:i/>
          <w:iCs/>
        </w:rPr>
        <w:t xml:space="preserve">proxy</w:t>
      </w:r>
      <w:r>
        <w:t xml:space="preserve">. Kecepatan keputusan, misalnya, dapat didekati dengan nilai keputusan dikali frekuensi dikali estimasi persentase perbaikan. Pendekatan ini tidak presisi, tetapi membuat manfaat masuk ke perhitungan dengan asumsi yang transparan, jauh lebih kredibel daripada mengabaikannya atau, sebaliknya, melebih-lebihkannya.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Kategori</w:t>
            </w:r>
          </w:p>
        </w:tc>
        <w:tc>
          <w:tcPr/>
          <w:p>
            <w:pPr>
              <w:pStyle w:val="Compact"/>
            </w:pPr>
            <w:r>
              <w:t xml:space="preserve">Contoh Manfaat</w:t>
            </w:r>
          </w:p>
        </w:tc>
        <w:tc>
          <w:tcPr/>
          <w:p>
            <w:pPr>
              <w:pStyle w:val="Compact"/>
            </w:pPr>
            <w:r>
              <w:t xml:space="preserve">Cara Memberi Proxy Angka</w:t>
            </w:r>
          </w:p>
        </w:tc>
      </w:tr>
      <w:tr>
        <w:tc>
          <w:tcPr/>
          <w:p>
            <w:pPr>
              <w:pStyle w:val="Compact"/>
            </w:pPr>
            <w:r>
              <w:t xml:space="preserve">Tangible</w:t>
            </w:r>
          </w:p>
        </w:tc>
        <w:tc>
          <w:tcPr/>
          <w:p>
            <w:pPr>
              <w:pStyle w:val="Compact"/>
            </w:pPr>
            <w:r>
              <w:t xml:space="preserve">Penghematan jam rekap laporan manual</w:t>
            </w:r>
          </w:p>
        </w:tc>
        <w:tc>
          <w:tcPr/>
          <w:p>
            <w:pPr>
              <w:pStyle w:val="Compact"/>
            </w:pPr>
            <w:r>
              <w:t xml:space="preserve">Jam/bulan × tarif rata-rata karyawan</w:t>
            </w:r>
          </w:p>
        </w:tc>
      </w:tr>
      <w:tr>
        <w:tc>
          <w:tcPr/>
          <w:p>
            <w:pPr>
              <w:pStyle w:val="Compact"/>
            </w:pPr>
            <w:r>
              <w:t xml:space="preserve">Tangible</w:t>
            </w:r>
          </w:p>
        </w:tc>
        <w:tc>
          <w:tcPr/>
          <w:p>
            <w:pPr>
              <w:pStyle w:val="Compact"/>
            </w:pPr>
            <w:r>
              <w:t xml:space="preserve">Pengurangan stok mati (</w:t>
            </w:r>
            <w:r>
              <w:rPr>
                <w:i/>
                <w:iCs/>
              </w:rPr>
              <w:t xml:space="preserve">dead stock</w:t>
            </w:r>
            <w:r>
              <w:t xml:space="preserve">)</w:t>
            </w:r>
          </w:p>
        </w:tc>
        <w:tc>
          <w:tcPr/>
          <w:p>
            <w:pPr>
              <w:pStyle w:val="Compact"/>
            </w:pPr>
            <w:r>
              <w:t xml:space="preserve">% pengurangan × nilai rata-rata stok</w:t>
            </w:r>
          </w:p>
        </w:tc>
      </w:tr>
      <w:tr>
        <w:tc>
          <w:tcPr/>
          <w:p>
            <w:pPr>
              <w:pStyle w:val="Compact"/>
            </w:pPr>
            <w:r>
              <w:t xml:space="preserve">Tangible</w:t>
            </w:r>
          </w:p>
        </w:tc>
        <w:tc>
          <w:tcPr/>
          <w:p>
            <w:pPr>
              <w:pStyle w:val="Compact"/>
            </w:pPr>
            <w:r>
              <w:t xml:space="preserve">Penurunan DSO (</w:t>
            </w:r>
            <w:r>
              <w:rPr>
                <w:i/>
                <w:iCs/>
              </w:rPr>
              <w:t xml:space="preserve">Days Sales Outstanding</w:t>
            </w:r>
            <w:r>
              <w:t xml:space="preserve">)</w:t>
            </w:r>
          </w:p>
        </w:tc>
        <w:tc>
          <w:tcPr/>
          <w:p>
            <w:pPr>
              <w:pStyle w:val="Compact"/>
            </w:pPr>
            <w:r>
              <w:t xml:space="preserve">Hari DSO berkurang × rata-rata penjualan harian</w:t>
            </w:r>
          </w:p>
        </w:tc>
      </w:tr>
      <w:tr>
        <w:tc>
          <w:tcPr/>
          <w:p>
            <w:pPr>
              <w:pStyle w:val="Compact"/>
            </w:pPr>
            <w:r>
              <w:t xml:space="preserve">Intangible</w:t>
            </w:r>
          </w:p>
        </w:tc>
        <w:tc>
          <w:tcPr/>
          <w:p>
            <w:pPr>
              <w:pStyle w:val="Compact"/>
            </w:pPr>
            <w:r>
              <w:t xml:space="preserve">Kecepatan &amp; kualitas keputusan</w:t>
            </w:r>
          </w:p>
        </w:tc>
        <w:tc>
          <w:tcPr/>
          <w:p>
            <w:pPr>
              <w:pStyle w:val="Compact"/>
            </w:pPr>
            <w:r>
              <w:t xml:space="preserve">Nilai keputusan × frekuensi × estimasi % perbaikan</w:t>
            </w:r>
          </w:p>
        </w:tc>
      </w:tr>
      <w:tr>
        <w:tc>
          <w:tcPr/>
          <w:p>
            <w:pPr>
              <w:pStyle w:val="Compact"/>
            </w:pPr>
            <w:r>
              <w:t xml:space="preserve">Intangible</w:t>
            </w:r>
          </w:p>
        </w:tc>
        <w:tc>
          <w:tcPr/>
          <w:p>
            <w:pPr>
              <w:pStyle w:val="Compact"/>
            </w:pPr>
            <w:r>
              <w:t xml:space="preserve">Keunggulan kompetitif /</w:t>
            </w:r>
            <w:r>
              <w:t xml:space="preserve"> </w:t>
            </w:r>
            <w:r>
              <w:rPr>
                <w:i/>
                <w:iCs/>
              </w:rPr>
              <w:t xml:space="preserve">time-to-market</w:t>
            </w:r>
          </w:p>
        </w:tc>
        <w:tc>
          <w:tcPr/>
          <w:p>
            <w:pPr>
              <w:pStyle w:val="Compact"/>
            </w:pPr>
            <w:r>
              <w:t xml:space="preserve">Sulit dimonetisasi; gunakan perbandingan kualitatif</w:t>
            </w:r>
          </w:p>
        </w:tc>
      </w:tr>
    </w:tbl>
    <w:p>
      <w:pPr>
        <w:pStyle w:val="BodyText"/>
      </w:pPr>
      <w:r>
        <w:rPr>
          <w:i/>
          <w:iCs/>
        </w:rPr>
        <w:t xml:space="preserve">[Image 02: Infografik dua kolom</w:t>
      </w:r>
      <w:r>
        <w:rPr>
          <w:i/>
          <w:iCs/>
        </w:rPr>
        <w:t xml:space="preserve"> </w:t>
      </w:r>
      <w:r>
        <w:rPr>
          <w:i/>
          <w:iCs/>
        </w:rPr>
        <w:t xml:space="preserve">“Manfaat Tangible vs Intangible BI”</w:t>
      </w:r>
      <w:r>
        <w:rPr>
          <w:i/>
          <w:iCs/>
        </w:rPr>
        <w:t xml:space="preserve"> </w:t>
      </w:r>
      <w:r>
        <w:rPr>
          <w:i/>
          <w:iCs/>
        </w:rPr>
        <w:t xml:space="preserve">— kolom kiri (tangible) dengan ikon: jam yang dihemat, DSO turun, stok mati turun; kolom kanan (intangible) dengan ikon kecepatan keputusan dan keunggulan kompetitif, masing-masing disertai label cara memberi proxy angka. Gaya bersih, ikon per item, teks Bahasa Indonesia]</w:t>
      </w:r>
    </w:p>
    <w:bookmarkEnd w:id="22"/>
    <w:bookmarkStart w:id="24" w:name="Xdc68236e438538ace3e786ca8fa98d1aff23366"/>
    <w:p>
      <w:pPr>
        <w:pStyle w:val="Heading2"/>
      </w:pPr>
      <w:r>
        <w:t xml:space="preserve">Cara Menyusun Business Case BI dalam 5 Langkah</w:t>
      </w:r>
    </w:p>
    <w:p>
      <w:pPr>
        <w:pStyle w:val="FirstParagraph"/>
      </w:pPr>
      <w:r>
        <w:t xml:space="preserve">Business case BI yang kuat dibangun dalam lima langkah: ikat ke keputusan bisnis spesifik, kuantifikasi</w:t>
      </w:r>
      <w:r>
        <w:t xml:space="preserve"> </w:t>
      </w:r>
      <w:r>
        <w:rPr>
          <w:i/>
          <w:iCs/>
        </w:rPr>
        <w:t xml:space="preserve">baseline</w:t>
      </w:r>
      <w:r>
        <w:t xml:space="preserve">, estimasi total biaya (TCO), proyeksikan manfaat dan hitung</w:t>
      </w:r>
      <w:r>
        <w:t xml:space="preserve"> </w:t>
      </w:r>
      <w:r>
        <w:rPr>
          <w:i/>
          <w:iCs/>
        </w:rPr>
        <w:t xml:space="preserve">payback</w:t>
      </w:r>
      <w:r>
        <w:t xml:space="preserve">, lalu tetapkan metrik</w:t>
      </w:r>
      <w:r>
        <w:t xml:space="preserve"> </w:t>
      </w:r>
      <w:r>
        <w:rPr>
          <w:i/>
          <w:iCs/>
        </w:rPr>
        <w:t xml:space="preserve">value realization</w:t>
      </w:r>
      <w:r>
        <w:t xml:space="preserve"> </w:t>
      </w:r>
      <w:r>
        <w:t xml:space="preserve">yang diukur setelah go-live. Inti rumusnya sederhana dan universal.</w:t>
      </w:r>
    </w:p>
    <w:p>
      <w:pPr>
        <w:pStyle w:val="BodyText"/>
      </w:pPr>
      <w:r>
        <w:t xml:space="preserve">ROI (%) = ((Total Manfaat − Total Biaya) / Total Biaya) × 100, dengan</w:t>
      </w:r>
      <w:r>
        <w:t xml:space="preserve"> </w:t>
      </w:r>
      <w:r>
        <w:rPr>
          <w:i/>
          <w:iCs/>
        </w:rPr>
        <w:t xml:space="preserve">Payback Period</w:t>
      </w:r>
      <w:r>
        <w:t xml:space="preserve"> </w:t>
      </w:r>
      <w:r>
        <w:t xml:space="preserve">(tahun) = Total Biaya ÷ Manfaat Tahunan. Rumus ini standar; yang sulit adalah mengisi angkanya secara jujur. Lima langkah berikut menjaga kejujuran itu:</w:t>
      </w:r>
    </w:p>
    <w:p>
      <w:pPr>
        <w:pStyle w:val="Compact"/>
        <w:numPr>
          <w:ilvl w:val="0"/>
          <w:numId w:val="1001"/>
        </w:numPr>
      </w:pPr>
      <w:r>
        <w:rPr>
          <w:b/>
          <w:bCs/>
        </w:rPr>
        <w:t xml:space="preserve">Ikat ke keputusan atau masalah bisnis spesifik.</w:t>
      </w:r>
      <w:r>
        <w:t xml:space="preserve"> </w:t>
      </w:r>
      <w:r>
        <w:t xml:space="preserve">Bukan</w:t>
      </w:r>
      <w:r>
        <w:t xml:space="preserve"> </w:t>
      </w:r>
      <w:r>
        <w:t xml:space="preserve">“memperbaiki semua keputusan”</w:t>
      </w:r>
      <w:r>
        <w:t xml:space="preserve">, melainkan satu masalah berfrekuensi tinggi, misalnya akurasi</w:t>
      </w:r>
      <w:r>
        <w:t xml:space="preserve"> </w:t>
      </w:r>
      <w:r>
        <w:rPr>
          <w:i/>
          <w:iCs/>
        </w:rPr>
        <w:t xml:space="preserve">forecast</w:t>
      </w:r>
      <w:r>
        <w:t xml:space="preserve"> </w:t>
      </w:r>
      <w:r>
        <w:t xml:space="preserve">stok yang lemah. Dalam fase penilaian, manfaat terbesar sering datang dari satu-dua keputusan berfrekuensi tinggi, bukan dari seluruh dashboard.</w:t>
      </w:r>
    </w:p>
    <w:p>
      <w:pPr>
        <w:pStyle w:val="Compact"/>
        <w:numPr>
          <w:ilvl w:val="0"/>
          <w:numId w:val="1001"/>
        </w:numPr>
      </w:pPr>
      <w:r>
        <w:rPr>
          <w:b/>
          <w:bCs/>
        </w:rPr>
        <w:t xml:space="preserve">Kuantifikasi baseline saat ini.</w:t>
      </w:r>
      <w:r>
        <w:t xml:space="preserve"> </w:t>
      </w:r>
      <w:r>
        <w:t xml:space="preserve">Berapa jam rekap per bulan, berapa tingkat stok mati, berapa hari DSO. Tanpa baseline,</w:t>
      </w:r>
      <w:r>
        <w:t xml:space="preserve"> </w:t>
      </w:r>
      <w:r>
        <w:t xml:space="preserve">“perbaikan”</w:t>
      </w:r>
      <w:r>
        <w:t xml:space="preserve"> </w:t>
      </w:r>
      <w:r>
        <w:t xml:space="preserve">tidak punya titik banding dan ROI tak bisa dibuktikan.</w:t>
      </w:r>
    </w:p>
    <w:p>
      <w:pPr>
        <w:pStyle w:val="Compact"/>
        <w:numPr>
          <w:ilvl w:val="0"/>
          <w:numId w:val="1001"/>
        </w:numPr>
      </w:pPr>
      <w:r>
        <w:rPr>
          <w:b/>
          <w:bCs/>
        </w:rPr>
        <w:t xml:space="preserve">Estimasi total biaya tiga tahun (TCO).</w:t>
      </w:r>
      <w:r>
        <w:t xml:space="preserve"> </w:t>
      </w:r>
      <w:r>
        <w:t xml:space="preserve">Gunakan keenam komponen di tabel sebelumnya, termasuk tenaga kerja dan AMS, bukan hanya lisensi tahun pertama.</w:t>
      </w:r>
    </w:p>
    <w:p>
      <w:pPr>
        <w:pStyle w:val="Compact"/>
        <w:numPr>
          <w:ilvl w:val="0"/>
          <w:numId w:val="1001"/>
        </w:numPr>
      </w:pPr>
      <w:r>
        <w:rPr>
          <w:b/>
          <w:bCs/>
        </w:rPr>
        <w:t xml:space="preserve">Proyeksikan manfaat tahunan dan hitung ROI serta payback.</w:t>
      </w:r>
      <w:r>
        <w:t xml:space="preserve"> </w:t>
      </w:r>
      <w:r>
        <w:t xml:space="preserve">Nyatakan setiap asumsi secara eksplisit, lalu masukkan ke rumus di atas.</w:t>
      </w:r>
    </w:p>
    <w:p>
      <w:pPr>
        <w:pStyle w:val="Compact"/>
        <w:numPr>
          <w:ilvl w:val="0"/>
          <w:numId w:val="1001"/>
        </w:numPr>
      </w:pPr>
      <w:r>
        <w:rPr>
          <w:b/>
          <w:bCs/>
        </w:rPr>
        <w:t xml:space="preserve">Tetapkan metrik value realization pasca go-live.</w:t>
      </w:r>
      <w:r>
        <w:t xml:space="preserve"> </w:t>
      </w:r>
      <w:r>
        <w:t xml:space="preserve">Sepakati indikator yang akan diukur setelah sistem aktif sebagai</w:t>
      </w:r>
      <w:r>
        <w:t xml:space="preserve"> </w:t>
      </w:r>
      <w:r>
        <w:t xml:space="preserve">“kontrak nilai”</w:t>
      </w:r>
      <w:r>
        <w:t xml:space="preserve"> </w:t>
      </w:r>
      <w:r>
        <w:t xml:space="preserve">antara tim IT dan bisnis.</w:t>
      </w:r>
    </w:p>
    <w:p>
      <w:pPr>
        <w:pStyle w:val="FirstParagraph"/>
      </w:pPr>
      <w:r>
        <w:t xml:space="preserve">Sebagai contoh ilustratif (skenario hipotetis, bukan hasil klien Soltius): sebuah perusahaan distribusi menghabiskan 160 jam/bulan untuk rekap laporan manual. Jika BI memangkas 75% beban itu, sekitar 120 jam/bulan kembali ke pekerjaan analitis. Tambahkan penurunan stok mati dan DSO sebagai dua manfaat lain yang diberi angka. Total manfaat tahunan hasil penjumlahan ketiganya lalu dibandingkan dengan TCO tiga tahun; jika manfaat tahunan setara sepertiga dari total biaya,</w:t>
      </w:r>
      <w:r>
        <w:t xml:space="preserve"> </w:t>
      </w:r>
      <w:r>
        <w:rPr>
          <w:i/>
          <w:iCs/>
        </w:rPr>
        <w:t xml:space="preserve">payback</w:t>
      </w:r>
      <w:r>
        <w:t xml:space="preserve"> </w:t>
      </w:r>
      <w:r>
        <w:t xml:space="preserve">jatuh di kisaran tiga tahun. Untuk konteks, survei industri yang diagregasi melaporkan rata-rata ROI BI sekitar 127% dalam 3 tahun dengan payback rata-rata 1,6 tahun. Pakai ini sebagai pembanding konservatif, bukan janji.</w:t>
      </w:r>
    </w:p>
    <w:p>
      <w:pPr>
        <w:pStyle w:val="BodyText"/>
      </w:pPr>
      <w:r>
        <w:t xml:space="preserve">Sebagai rujukan rentang yang lebih tinggi, studi kasus individual dari lembaga seperti Nucleus Research mencatat ROI 218%–645% dengan payback 1,9–5,5 bulan pada</w:t>
      </w:r>
      <w:r>
        <w:t xml:space="preserve"> </w:t>
      </w:r>
      <w:r>
        <w:rPr>
          <w:i/>
          <w:iCs/>
        </w:rPr>
        <w:t xml:space="preserve">deployment</w:t>
      </w:r>
      <w:r>
        <w:t xml:space="preserve"> </w:t>
      </w:r>
      <w:r>
        <w:t xml:space="preserve">analytics tertentu. Itu adalah kasus spesifik pada perusahaan yang sudah matang datanya: menarik sebagai bukti potensi, berbahaya jika dipakai sebagai asumsi default. Banyak business case BI juga menumpang pada program S/4HANA; data live pasca</w:t>
      </w:r>
      <w:r>
        <w:t xml:space="preserve"> </w:t>
      </w:r>
      <w:hyperlink r:id="rId23">
        <w:r>
          <w:rPr>
            <w:rStyle w:val="Hyperlink"/>
          </w:rPr>
          <w:t xml:space="preserve">migrasi ERP ke cloud</w:t>
        </w:r>
      </w:hyperlink>
      <w:r>
        <w:t xml:space="preserve"> </w:t>
      </w:r>
      <w:r>
        <w:t xml:space="preserve">memangkas biaya integrasi dan mempercepat realisasi manfaat karena BI tak perlu lagi membangun ETL tambahan.</w:t>
      </w:r>
    </w:p>
    <w:p>
      <w:pPr>
        <w:pStyle w:val="BodyText"/>
      </w:pPr>
      <w:r>
        <w:rPr>
          <w:i/>
          <w:iCs/>
        </w:rPr>
        <w:t xml:space="preserve">[Image 03: Infografik numbered tile 1–5</w:t>
      </w:r>
      <w:r>
        <w:rPr>
          <w:i/>
          <w:iCs/>
        </w:rPr>
        <w:t xml:space="preserve"> </w:t>
      </w:r>
      <w:r>
        <w:rPr>
          <w:i/>
          <w:iCs/>
        </w:rPr>
        <w:t xml:space="preserve">“Kerangka Menyusun Business Case BI”</w:t>
      </w:r>
      <w:r>
        <w:rPr>
          <w:i/>
          <w:iCs/>
        </w:rPr>
        <w:t xml:space="preserve"> </w:t>
      </w:r>
      <w:r>
        <w:rPr>
          <w:i/>
          <w:iCs/>
        </w:rPr>
        <w:t xml:space="preserve">— tiap langkah berisi judul, satu kalimat penjelasan, dan satu output konkret (mis. langkah 2 →</w:t>
      </w:r>
      <w:r>
        <w:rPr>
          <w:i/>
          <w:iCs/>
        </w:rPr>
        <w:t xml:space="preserve"> </w:t>
      </w:r>
      <w:r>
        <w:rPr>
          <w:i/>
          <w:iCs/>
        </w:rPr>
        <w:t xml:space="preserve">“dokumen baseline”</w:t>
      </w:r>
      <w:r>
        <w:rPr>
          <w:i/>
          <w:iCs/>
        </w:rPr>
        <w:t xml:space="preserve">). Format timeline horizontal, sangat ramah di-screenshot, warna progresif, teks Bahasa Indonesia]</w:t>
      </w:r>
    </w:p>
    <w:bookmarkEnd w:id="24"/>
    <w:bookmarkStart w:id="26" w:name="X437bcbd87724b773320e00fc2a185e57dae6848"/>
    <w:p>
      <w:pPr>
        <w:pStyle w:val="Heading2"/>
      </w:pPr>
      <w:r>
        <w:t xml:space="preserve">Kapan ROI BI Belum Realistis dan Apa yang Harus Dibereskan Dulu</w:t>
      </w:r>
    </w:p>
    <w:p>
      <w:pPr>
        <w:pStyle w:val="FirstParagraph"/>
      </w:pPr>
      <w:r>
        <w:t xml:space="preserve">ROI BI belum realistis ketika tiga prasyarat belum terpenuhi: data belum bersih dan terkonsolidasi, tidak ada sponsor eksekutif maupun rencana adopsi, atau tujuannya masih kabur. Dalam kondisi itu, menghitung ROI hanya menghasilkan angka indah di atas kertas yang tidak akan pernah terwujud.</w:t>
      </w:r>
    </w:p>
    <w:p>
      <w:pPr>
        <w:pStyle w:val="BodyText"/>
      </w:pPr>
      <w:r>
        <w:t xml:space="preserve">Bagian ini jarang ditulis kompetitor, padahal di sinilah kejujuran membangun kepercayaan. Data prasyarat paling keras datang dari Gartner: hingga 2026, organisasi diprediksi</w:t>
      </w:r>
      <w:r>
        <w:t xml:space="preserve"> </w:t>
      </w:r>
      <w:hyperlink r:id="rId25">
        <w:r>
          <w:rPr>
            <w:rStyle w:val="Hyperlink"/>
          </w:rPr>
          <w:t xml:space="preserve">menghentikan 60% proyek AI yang tidak didukung data siap-AI</w:t>
        </w:r>
      </w:hyperlink>
      <w:r>
        <w:t xml:space="preserve"> </w:t>
      </w:r>
      <w:r>
        <w:t xml:space="preserve">(survei 248 pemimpin manajemen data, Q3 2024). Konteksnya proyek AI, tetapi logikanya berlaku langsung untuk BI: tanpa data yang siap, tidak ada ROI yang bisa direalisasikan.</w:t>
      </w:r>
    </w:p>
    <w:p>
      <w:pPr>
        <w:pStyle w:val="BodyText"/>
      </w:pPr>
      <w:r>
        <w:t xml:space="preserve">Adopsi pengguna adalah pengganda ROI, bukan detail teknis di akhir proyek. Penelitian dari kalangan industri menyebut tingkat adopsi BI di antara karyawan sering hanya sekitar 22%. Artinya hampir 80% potensi nilai tidak pernah terealisasi karena sistem tidak benar-benar dipakai. Karena itu, business case yang baik memasukkan rencana adopsi dan mengukurnya sebagai KPI utama, bukan sebagai catatan kaki.</w:t>
      </w:r>
    </w:p>
    <w:p>
      <w:pPr>
        <w:pStyle w:val="BodyText"/>
      </w:pPr>
      <w:r>
        <w:t xml:space="preserve">Maka sebelum menyodorkan angka ROI ke CFO, bereskan dulu tiga hal: konsolidasikan dan bersihkan data sumber, pastikan ada sponsor eksekutif yang akan menuntut penggunaan, dan persempit ruang lingkup ke satu masalah keputusan berfrekuensi tinggi. Mulai dari sana akan menghasilkan ROI yang nyata; mulai dari</w:t>
      </w:r>
      <w:r>
        <w:t xml:space="preserve"> </w:t>
      </w:r>
      <w:r>
        <w:t xml:space="preserve">“semua dashboard untuk semua orang”</w:t>
      </w:r>
      <w:r>
        <w:t xml:space="preserve"> </w:t>
      </w:r>
      <w:r>
        <w:t xml:space="preserve">hampir selalu berakhir tanpa angka yang bisa dibuktikan.</w:t>
      </w:r>
    </w:p>
    <w:bookmarkEnd w:id="26"/>
    <w:bookmarkStart w:id="34" w:name="faq-pertanyaan-yang-sering-diajukan"/>
    <w:p>
      <w:pPr>
        <w:pStyle w:val="Heading2"/>
      </w:pPr>
      <w:r>
        <w:t xml:space="preserve">FAQ (Pertanyaan yang Sering Diajukan)</w:t>
      </w:r>
    </w:p>
    <w:bookmarkStart w:id="27" w:name="berapa-roi-dari-business-intelligence"/>
    <w:p>
      <w:pPr>
        <w:pStyle w:val="Heading3"/>
      </w:pPr>
      <w:r>
        <w:t xml:space="preserve">Berapa ROI dari business intelligence?</w:t>
      </w:r>
    </w:p>
    <w:p>
      <w:pPr>
        <w:pStyle w:val="FirstParagraph"/>
      </w:pPr>
      <w:r>
        <w:t xml:space="preserve">ROI Business Intelligence sangat bervariasi tergantung kematangan data, ruang lingkup, dan tingkat adopsi pengguna. Survei industri yang diagregasi melaporkan rata-rata sekitar 127% dalam 3 tahun, sementara studi kasus individual Nucleus Research mencatat rentang 218%–645% pada deployment spesifik. Angka-angka ini adalah kisaran, bukan jaminan. Proyek tanpa data bersih, sponsor kuat, dan adopsi nyata jarang mencapainya.</w:t>
      </w:r>
    </w:p>
    <w:bookmarkEnd w:id="27"/>
    <w:bookmarkStart w:id="28" w:name="X1c9f88c90413e9c7c213f96ff80aed2e073e41f"/>
    <w:p>
      <w:pPr>
        <w:pStyle w:val="Heading3"/>
      </w:pPr>
      <w:r>
        <w:t xml:space="preserve">Bagaimana cara menghitung ROI business intelligence?</w:t>
      </w:r>
    </w:p>
    <w:p>
      <w:pPr>
        <w:pStyle w:val="FirstParagraph"/>
      </w:pPr>
      <w:r>
        <w:t xml:space="preserve">ROI BI dihitung dengan rumus standar: ROI (%) = ((Total Manfaat − Total Biaya) / Total Biaya) × 100. Total biaya mencakup lisensi, implementasi, integrasi data, infrastruktur, pelatihan, dan biaya berjalan. Total manfaat mencakup penghematan jam kerja, pengurangan stok mati, penurunan DSO, dan nilai keputusan lebih cepat.</w:t>
      </w:r>
      <w:r>
        <w:t xml:space="preserve"> </w:t>
      </w:r>
      <w:r>
        <w:rPr>
          <w:i/>
          <w:iCs/>
        </w:rPr>
        <w:t xml:space="preserve">Payback Period</w:t>
      </w:r>
      <w:r>
        <w:t xml:space="preserve"> </w:t>
      </w:r>
      <w:r>
        <w:t xml:space="preserve">dihitung sebagai Total Biaya dibagi Manfaat Tahunan.</w:t>
      </w:r>
    </w:p>
    <w:bookmarkEnd w:id="28"/>
    <w:bookmarkStart w:id="29" w:name="X8740a90b58c778a9a26724638d4f681638b4712"/>
    <w:p>
      <w:pPr>
        <w:pStyle w:val="Heading3"/>
      </w:pPr>
      <w:r>
        <w:t xml:space="preserve">Apa saja komponen biaya implementasi business intelligence?</w:t>
      </w:r>
    </w:p>
    <w:p>
      <w:pPr>
        <w:pStyle w:val="FirstParagraph"/>
      </w:pPr>
      <w:r>
        <w:t xml:space="preserve">Komponen utamanya: (1) lisensi atau langganan platform BI, (2) implementasi dan konsultasi, (3) integrasi dan persiapan data (sering komponen tersembunyi terbesar, sekitar 50–80% anggaran proyek menurut penelitian industri), (4) infrastruktur cloud atau server, (5) pelatihan dan</w:t>
      </w:r>
      <w:r>
        <w:t xml:space="preserve"> </w:t>
      </w:r>
      <w:r>
        <w:rPr>
          <w:i/>
          <w:iCs/>
        </w:rPr>
        <w:t xml:space="preserve">change management</w:t>
      </w:r>
      <w:r>
        <w:t xml:space="preserve">, serta (6) Application Management Services pasca go-live. Tenaga kerja umumnya jauh melampaui biaya lisensi.</w:t>
      </w:r>
    </w:p>
    <w:bookmarkEnd w:id="29"/>
    <w:bookmarkStart w:id="30" w:name="berapa-lama-payback-period-proyek-bi"/>
    <w:p>
      <w:pPr>
        <w:pStyle w:val="Heading3"/>
      </w:pPr>
      <w:r>
        <w:t xml:space="preserve">Berapa lama payback period proyek BI?</w:t>
      </w:r>
    </w:p>
    <w:p>
      <w:pPr>
        <w:pStyle w:val="FirstParagraph"/>
      </w:pPr>
      <w:r>
        <w:t xml:space="preserve">Payback period BI rata-rata sekitar 1,6 tahun menurut survei industri yang diagregasi. Studi kasus Nucleus Research pada deployment spesifik menunjukkan payback sesingkat 1,9–5,5 bulan, tetapi itu kasus pada perusahaan yang sudah matang datanya. Angka ini sangat dipengaruhi kualitas data dan kecepatan adopsi; fondasi data lemah membuat payback jauh lebih panjang atau tak pernah tercapai.</w:t>
      </w:r>
    </w:p>
    <w:bookmarkEnd w:id="30"/>
    <w:bookmarkStart w:id="31" w:name="bagaimana-membuat-business-case-untuk-bi"/>
    <w:p>
      <w:pPr>
        <w:pStyle w:val="Heading3"/>
      </w:pPr>
      <w:r>
        <w:t xml:space="preserve">Bagaimana membuat business case untuk BI?</w:t>
      </w:r>
    </w:p>
    <w:p>
      <w:pPr>
        <w:pStyle w:val="FirstParagraph"/>
      </w:pPr>
      <w:r>
        <w:t xml:space="preserve">Bangun dalam lima langkah: (1) ikat ke satu keputusan bisnis spesifik, bukan</w:t>
      </w:r>
      <w:r>
        <w:t xml:space="preserve"> </w:t>
      </w:r>
      <w:r>
        <w:t xml:space="preserve">“semua keputusan”</w:t>
      </w:r>
      <w:r>
        <w:t xml:space="preserve">, (2) kuantifikasi baseline saat ini (jam rekap, stok mati, DSO), (3) estimasi total biaya tiga tahun (TCO), (4) proyeksikan manfaat tahunan lalu hitung ROI dan payback dengan asumsi transparan, (5) tetapkan metrik</w:t>
      </w:r>
      <w:r>
        <w:t xml:space="preserve"> </w:t>
      </w:r>
      <w:r>
        <w:rPr>
          <w:i/>
          <w:iCs/>
        </w:rPr>
        <w:t xml:space="preserve">value realization</w:t>
      </w:r>
      <w:r>
        <w:t xml:space="preserve"> </w:t>
      </w:r>
      <w:r>
        <w:t xml:space="preserve">yang diukur setelah go-live. Tandai semua proyeksi sebagai estimasi.</w:t>
      </w:r>
    </w:p>
    <w:bookmarkEnd w:id="31"/>
    <w:bookmarkStart w:id="32" w:name="apa-metrik-keberhasilan-proyek-bi"/>
    <w:p>
      <w:pPr>
        <w:pStyle w:val="Heading3"/>
      </w:pPr>
      <w:r>
        <w:t xml:space="preserve">Apa metrik keberhasilan proyek BI?</w:t>
      </w:r>
    </w:p>
    <w:p>
      <w:pPr>
        <w:pStyle w:val="FirstParagraph"/>
      </w:pPr>
      <w:r>
        <w:t xml:space="preserve">Metrik keberhasilan BI mencakup dua kategori. Pertama, metrik platform: tingkat adopsi pengguna (target wajar minimal 70% pengguna aktif bulanan), jumlah laporan otomatis pengganti rekap manual, dan waktu respons query. Kedua, metrik nilai bisnis: pengurangan jam pelaporan, akurasi</w:t>
      </w:r>
      <w:r>
        <w:t xml:space="preserve"> </w:t>
      </w:r>
      <w:r>
        <w:rPr>
          <w:i/>
          <w:iCs/>
        </w:rPr>
        <w:t xml:space="preserve">forecast</w:t>
      </w:r>
      <w:r>
        <w:t xml:space="preserve"> </w:t>
      </w:r>
      <w:r>
        <w:t xml:space="preserve">yang membaik, serta penurunan DSO atau stok mati. Metrik ini idealnya ditetapkan sebelum go-live.</w:t>
      </w:r>
    </w:p>
    <w:bookmarkEnd w:id="32"/>
    <w:bookmarkStart w:id="33" w:name="X727777530159dd313496f5a8056bb4ab1e3ad95"/>
    <w:p>
      <w:pPr>
        <w:pStyle w:val="Heading3"/>
      </w:pPr>
      <w:r>
        <w:t xml:space="preserve">Apa bedanya manfaat tangible dan intangible dalam BI?</w:t>
      </w:r>
    </w:p>
    <w:p>
      <w:pPr>
        <w:pStyle w:val="FirstParagraph"/>
      </w:pPr>
      <w:r>
        <w:t xml:space="preserve">Manfaat tangible langsung dapat dirupiahkan (jam rekap yang dihemat, stok mati yang turun, DSO yang berkurang) dan menjadi tulang punggung business case. Manfaat intangible seperti kecepatan keputusan atau keunggulan kompetitif tidak langsung terlihat di laporan keuangan, tetapi tetap bisa diberi</w:t>
      </w:r>
      <w:r>
        <w:t xml:space="preserve"> </w:t>
      </w:r>
      <w:r>
        <w:rPr>
          <w:i/>
          <w:iCs/>
        </w:rPr>
        <w:t xml:space="preserve">proxy</w:t>
      </w:r>
      <w:r>
        <w:t xml:space="preserve"> </w:t>
      </w:r>
      <w:r>
        <w:t xml:space="preserve">angka (nilai keputusan × frekuensi × estimasi perbaikan) agar masuk perhitungan dengan asumsi yang jelas.</w:t>
      </w:r>
    </w:p>
    <w:bookmarkEnd w:id="33"/>
    <w:bookmarkEnd w:id="34"/>
    <w:bookmarkStart w:id="35" w:name="kesimpulan"/>
    <w:p>
      <w:pPr>
        <w:pStyle w:val="Heading2"/>
      </w:pPr>
      <w:r>
        <w:t xml:space="preserve">Kesimpulan</w:t>
      </w:r>
    </w:p>
    <w:p>
      <w:pPr>
        <w:pStyle w:val="FirstParagraph"/>
      </w:pPr>
      <w:r>
        <w:t xml:space="preserve">Pertanyaan CFO</w:t>
      </w:r>
      <w:r>
        <w:t xml:space="preserve"> </w:t>
      </w:r>
      <w:r>
        <w:t xml:space="preserve">“berapa kembaliannya?”</w:t>
      </w:r>
      <w:r>
        <w:t xml:space="preserve"> </w:t>
      </w:r>
      <w:r>
        <w:t xml:space="preserve">sebenarnya pertanyaan yang sehat. Ia memaksa proyek BI berhenti menjual janji dashboard dan mulai berbicara dalam bahasa nilai: keputusan mana yang membaik, berapa biaya sebenarnya, dan kapan investasi balik modal. Business case yang jujur, yang memilih dua-tiga manfaat terukur, mengakui biaya tersembunyi, dan menandai estimasinya sebagai estimasi, jauh lebih meyakinkan daripada klaim ROI 500% tanpa konteks. Melalui layanan Data and AI Consulting, Soltius membantu menyusun business case, mengimplementasikan solusi BI seperti SAP Analytics Cloud, lalu mendampingi realisasi nilainya pasca go-live, termasuk jujur soal kapan ROI realistis dan kapan fondasinya perlu dibereskan dulu.</w:t>
      </w:r>
    </w:p>
    <w:p>
      <w:pPr>
        <w:pStyle w:val="BodyText"/>
      </w:pPr>
      <w:r>
        <w:t xml:space="preserve">Untuk mendiskusikan kesiapan data dan menyusun business case BI di perusahaan Anda, kunjungi soltius.co.id.</w:t>
      </w:r>
    </w:p>
    <w:bookmarkEnd w:id="35"/>
    <w:bookmarkEnd w:id="36"/>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5" Target="https://www.gartner.com/en/newsroom/press-releases/2025-02-26-lack-of-ai-ready-data-puts-ai-projects-at-risk" TargetMode="External" /><Relationship Type="http://schemas.openxmlformats.org/officeDocument/2006/relationships/hyperlink" Id="rId18" Target="https://www.gartner.com/en/newsroom/press-releases/2026-04-07-gartner-says-artificial-intelligence-projects-in-infrastructure-and-operations-stall-ahead-of-meaningful-roi-returns" TargetMode="External" /><Relationship Type="http://schemas.openxmlformats.org/officeDocument/2006/relationships/hyperlink" Id="rId17" Target="https://www.soltius.co.id/id/blog/business-intelligence" TargetMode="External" /><Relationship Type="http://schemas.openxmlformats.org/officeDocument/2006/relationships/hyperlink" Id="rId20" Target="https://www.soltius.co.id/id/blog/data-warehouse-solutions" TargetMode="External" /><Relationship Type="http://schemas.openxmlformats.org/officeDocument/2006/relationships/hyperlink" Id="rId23"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25" Target="https://www.gartner.com/en/newsroom/press-releases/2025-02-26-lack-of-ai-ready-data-puts-ai-projects-at-risk" TargetMode="External" /><Relationship Type="http://schemas.openxmlformats.org/officeDocument/2006/relationships/hyperlink" Id="rId18" Target="https://www.gartner.com/en/newsroom/press-releases/2026-04-07-gartner-says-artificial-intelligence-projects-in-infrastructure-and-operations-stall-ahead-of-meaningful-roi-returns" TargetMode="External" /><Relationship Type="http://schemas.openxmlformats.org/officeDocument/2006/relationships/hyperlink" Id="rId17" Target="https://www.soltius.co.id/id/blog/business-intelligence" TargetMode="External" /><Relationship Type="http://schemas.openxmlformats.org/officeDocument/2006/relationships/hyperlink" Id="rId20" Target="https://www.soltius.co.id/id/blog/data-warehouse-solutions" TargetMode="External" /><Relationship Type="http://schemas.openxmlformats.org/officeDocument/2006/relationships/hyperlink" Id="rId23"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2026-06-08T11:34:36Z</dcterms:created>
  <dcterms:modified xsi:type="dcterms:W3CDTF">2026-06-08T11:34:36Z</dcterms:modified>
</cp:coreProperties>
</file>

<file path=docProps/custom.xml><?xml version="1.0" encoding="utf-8"?>
<Properties xmlns="http://schemas.openxmlformats.org/officeDocument/2006/custom-properties" xmlns:vt="http://schemas.openxmlformats.org/officeDocument/2006/docPropsVTypes"/>
</file>