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"Migrasi Data Warehouse Lama ke Platform Modern: Panduan Brownfield"</w:t>
      </w:r>
      <w:r>
        <w:br/>
      </w:r>
      <w:r>
        <w:rPr>
          <w:rStyle w:val="FunctionTok"/>
        </w:rPr>
        <w:t xml:space="preserve">meta_title</w:t>
      </w:r>
      <w:r>
        <w:rPr>
          <w:rStyle w:val="KeywordTok"/>
        </w:rPr>
        <w:t xml:space="preserve">:</w:t>
      </w:r>
      <w:r>
        <w:rPr>
          <w:rStyle w:val="AttributeTok"/>
        </w:rPr>
        <w:t xml:space="preserve"> </w:t>
      </w:r>
      <w:r>
        <w:rPr>
          <w:rStyle w:val="StringTok"/>
        </w:rPr>
        <w:t xml:space="preserve">"Migrasi Data Warehouse Lama ke Cloud: Panduan Praktis"</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migrasi data warehouse lama (Teradata, Oracle, SAP BW) ke platform modern: asesmen, strategi konektor, parallel run, dekomisioning, dan kapan belum perlu."</w:t>
      </w:r>
      <w:r>
        <w:br/>
      </w:r>
      <w:r>
        <w:rPr>
          <w:rStyle w:val="FunctionTok"/>
        </w:rPr>
        <w:t xml:space="preserve">slug</w:t>
      </w:r>
      <w:r>
        <w:rPr>
          <w:rStyle w:val="KeywordTok"/>
        </w:rPr>
        <w:t xml:space="preserve">:</w:t>
      </w:r>
      <w:r>
        <w:rPr>
          <w:rStyle w:val="AttributeTok"/>
        </w:rPr>
        <w:t xml:space="preserve"> </w:t>
      </w:r>
      <w:r>
        <w:rPr>
          <w:rStyle w:val="StringTok"/>
        </w:rPr>
        <w:t xml:space="preserve">"migrasi-data-warehouse-lama-ke-platform-modern"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data warehouse"</w:t>
      </w:r>
      <w:r>
        <w:br/>
      </w:r>
      <w:r>
        <w:rPr>
          <w:rStyle w:val="AttributeTok"/>
        </w:rPr>
        <w:t xml:space="preserve">  </w:t>
      </w:r>
      <w:r>
        <w:rPr>
          <w:rStyle w:val="KeywordTok"/>
        </w:rPr>
        <w:t xml:space="preserve">-</w:t>
      </w:r>
      <w:r>
        <w:rPr>
          <w:rStyle w:val="AttributeTok"/>
        </w:rPr>
        <w:t xml:space="preserve"> </w:t>
      </w:r>
      <w:r>
        <w:rPr>
          <w:rStyle w:val="StringTok"/>
        </w:rPr>
        <w:t xml:space="preserve">"legacy data warehouse"</w:t>
      </w:r>
      <w:r>
        <w:br/>
      </w:r>
      <w:r>
        <w:rPr>
          <w:rStyle w:val="AttributeTok"/>
        </w:rPr>
        <w:t xml:space="preserve">  </w:t>
      </w:r>
      <w:r>
        <w:rPr>
          <w:rStyle w:val="KeywordTok"/>
        </w:rPr>
        <w:t xml:space="preserve">-</w:t>
      </w:r>
      <w:r>
        <w:rPr>
          <w:rStyle w:val="AttributeTok"/>
        </w:rPr>
        <w:t xml:space="preserve"> </w:t>
      </w:r>
      <w:r>
        <w:rPr>
          <w:rStyle w:val="StringTok"/>
        </w:rPr>
        <w:t xml:space="preserve">"Teradata"</w:t>
      </w:r>
      <w:r>
        <w:br/>
      </w:r>
      <w:r>
        <w:rPr>
          <w:rStyle w:val="AttributeTok"/>
        </w:rPr>
        <w:t xml:space="preserve">  </w:t>
      </w:r>
      <w:r>
        <w:rPr>
          <w:rStyle w:val="KeywordTok"/>
        </w:rPr>
        <w:t xml:space="preserve">-</w:t>
      </w:r>
      <w:r>
        <w:rPr>
          <w:rStyle w:val="AttributeTok"/>
        </w:rPr>
        <w:t xml:space="preserve"> </w:t>
      </w:r>
      <w:r>
        <w:rPr>
          <w:rStyle w:val="StringTok"/>
        </w:rPr>
        <w:t xml:space="preserve">"Oracle"</w:t>
      </w:r>
      <w:r>
        <w:br/>
      </w:r>
      <w:r>
        <w:rPr>
          <w:rStyle w:val="AttributeTok"/>
        </w:rPr>
        <w:t xml:space="preserve">  </w:t>
      </w:r>
      <w:r>
        <w:rPr>
          <w:rStyle w:val="KeywordTok"/>
        </w:rPr>
        <w:t xml:space="preserve">-</w:t>
      </w:r>
      <w:r>
        <w:rPr>
          <w:rStyle w:val="AttributeTok"/>
        </w:rPr>
        <w:t xml:space="preserve"> </w:t>
      </w:r>
      <w:r>
        <w:rPr>
          <w:rStyle w:val="StringTok"/>
        </w:rPr>
        <w:t xml:space="preserve">"SAP BW end of maintenance"</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"parallel run"</w:t>
      </w:r>
      <w:r>
        <w:br/>
      </w:r>
      <w:r>
        <w:rPr>
          <w:rStyle w:val="AttributeTok"/>
        </w:rPr>
        <w:t xml:space="preserve">  </w:t>
      </w:r>
      <w:r>
        <w:rPr>
          <w:rStyle w:val="KeywordTok"/>
        </w:rPr>
        <w:t xml:space="preserve">-</w:t>
      </w:r>
      <w:r>
        <w:rPr>
          <w:rStyle w:val="AttributeTok"/>
        </w:rPr>
        <w:t xml:space="preserve"> </w:t>
      </w:r>
      <w:r>
        <w:rPr>
          <w:rStyle w:val="StringTok"/>
        </w:rPr>
        <w:t xml:space="preserve">"dekomisioning"</w:t>
      </w:r>
      <w:r>
        <w:br/>
      </w:r>
      <w:r>
        <w:rPr>
          <w:rStyle w:val="AttributeTok"/>
        </w:rPr>
        <w:t xml:space="preserve">  </w:t>
      </w:r>
      <w:r>
        <w:rPr>
          <w:rStyle w:val="KeywordTok"/>
        </w:rPr>
        <w:t xml:space="preserve">-</w:t>
      </w:r>
      <w:r>
        <w:rPr>
          <w:rStyle w:val="AttributeTok"/>
        </w:rPr>
        <w:t xml:space="preserve"> </w:t>
      </w:r>
      <w:r>
        <w:rPr>
          <w:rStyle w:val="StringTok"/>
        </w:rPr>
        <w:t xml:space="preserve">"data federation"</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"https://barc.com/end-of-maintenance-sap-bw/"</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"Akhir mainstream maintenance SAP BW 7.5 (2027), extended 2030, dan komitmen BW/4HANA hingga 2040"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"https://news.sap.com/2023/03/sap-datasphere-business-data-fabric/"</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SAP Datasphere, konsep business data fabric, peluncuran Maret 2023, koneksi SAP &amp; non-SAP"</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1655</w:t>
      </w:r>
    </w:p>
    <w:p>
      <w:r>
        <w:pict>
          <v:rect style="width:0;height:1.5pt" o:hralign="center" o:hrstd="t" o:hr="t"/>
        </w:pict>
      </w:r>
    </w:p>
    <w:bookmarkEnd w:id="16"/>
    <w:bookmarkStart w:id="32" w:name="Xe454a0b6899d1f04671ed75e211557a690ee81d"/>
    <w:p>
      <w:pPr>
        <w:pStyle w:val="Heading1"/>
      </w:pPr>
      <w:r>
        <w:t xml:space="preserve">Migrasi Data Warehouse Lama ke Platform Modern: Panduan Brownfield</w:t>
      </w:r>
    </w:p>
    <w:p>
      <w:pPr>
        <w:pStyle w:val="FirstParagraph"/>
      </w:pPr>
      <w:r>
        <w:t xml:space="preserve">Sebagian besar panduan data warehouse mengasumsikan Anda mulai dari nol. Kenyataan di banyak perusahaan Indonesia justru sebaliknya: gudang data sudah ada, sudah penuh, dan sudah tua. Ada Teradata yang biaya lisensinya terus naik, Oracle yang model datanya berlapis-lapis setelah belasan tahun, atau SAP BW lama yang tinggal menghitung mundur menuju akhir dukungan. Pertanyaan Anda berbeda dari pemula. Bukan</w:t>
      </w:r>
      <w:r>
        <w:t xml:space="preserve"> </w:t>
      </w:r>
      <w:r>
        <w:t xml:space="preserve">“bagaimana membangun”</w:t>
      </w:r>
      <w:r>
        <w:t xml:space="preserve">, melainkan</w:t>
      </w:r>
      <w:r>
        <w:t xml:space="preserve"> </w:t>
      </w:r>
      <w:r>
        <w:t xml:space="preserve">“bagaimana memindahkan bertahun-tahun model data, laporan, dan integrasi ke platform baru tanpa mematikan operasional?”</w:t>
      </w:r>
      <w:r>
        <w:t xml:space="preserve"> </w:t>
      </w:r>
      <w:r>
        <w:t xml:space="preserve">Artikel ini membahas migrasi</w:t>
      </w:r>
      <w:r>
        <w:t xml:space="preserve"> </w:t>
      </w:r>
      <w:r>
        <w:rPr>
          <w:i/>
          <w:iCs/>
        </w:rPr>
        <w:t xml:space="preserve">brownfield</w:t>
      </w:r>
      <w:r>
        <w:t xml:space="preserve"> </w:t>
      </w:r>
      <w:r>
        <w:t xml:space="preserve">itu secara praktis, sebagai bagian dari pilihan</w:t>
      </w:r>
      <w:r>
        <w:t xml:space="preserve"> </w:t>
      </w:r>
      <w:hyperlink r:id="rId17">
        <w:r>
          <w:rPr>
            <w:rStyle w:val="Hyperlink"/>
          </w:rPr>
          <w:t xml:space="preserve">solusi data warehouse</w:t>
        </w:r>
      </w:hyperlink>
      <w:r>
        <w:t xml:space="preserve"> </w:t>
      </w:r>
      <w:r>
        <w:t xml:space="preserve">yang relevan untuk perusahaan dengan sistem warisan.</w:t>
      </w:r>
    </w:p>
    <w:p>
      <w:pPr>
        <w:pStyle w:val="BlockText"/>
      </w:pPr>
      <w:r>
        <w:rPr>
          <w:b/>
          <w:bCs/>
        </w:rPr>
        <w:t xml:space="preserve">Secara singkat:</w:t>
      </w:r>
      <w:r>
        <w:t xml:space="preserve"> </w:t>
      </w:r>
      <w:r>
        <w:t xml:space="preserve">Migrasi data warehouse adalah proses memindahkan model data, data historis, pipeline integrasi, dan laporan dari sistem lama (seperti Teradata, Oracle, atau SAP BW) ke platform modern. Berbeda dengan membangun baru, migrasi</w:t>
      </w:r>
      <w:r>
        <w:t xml:space="preserve"> </w:t>
      </w:r>
      <w:r>
        <w:rPr>
          <w:i/>
          <w:iCs/>
        </w:rPr>
        <w:t xml:space="preserve">brownfield</w:t>
      </w:r>
      <w:r>
        <w:t xml:space="preserve"> </w:t>
      </w:r>
      <w:r>
        <w:t xml:space="preserve">harus menjaga kesinambungan operasional, termasuk</w:t>
      </w:r>
      <w:r>
        <w:t xml:space="preserve"> </w:t>
      </w:r>
      <w:r>
        <w:rPr>
          <w:i/>
          <w:iCs/>
        </w:rPr>
        <w:t xml:space="preserve">parallel run</w:t>
      </w:r>
      <w:r>
        <w:t xml:space="preserve"> </w:t>
      </w:r>
      <w:r>
        <w:t xml:space="preserve">dan rekonsiliasi angka, sebelum sistem lama dapat dimatikan.</w:t>
      </w:r>
    </w:p>
    <w:p>
      <w:pPr>
        <w:pStyle w:val="FirstParagraph"/>
      </w:pPr>
      <w:r>
        <w:t xml:space="preserve">Melalui artikel ini, kita akan menelusuri pemicu yang membuat migrasi kini mendesak, apa saja yang wajib diinventarisasi sebelum mulai, apakah Teradata dan Oracle bisa berpindah ke platform SAP, lima fase yang meminimalkan risiko, dan yang jarang dibahas: kapan sebaiknya Anda justru belum bermigrasi.</w:t>
      </w:r>
    </w:p>
    <w:p>
      <w:pPr>
        <w:pStyle w:val="BodyText"/>
      </w:pPr>
      <w:r>
        <w:rPr>
          <w:i/>
          <w:iCs/>
        </w:rPr>
        <w:t xml:space="preserve">[Image 01: Timeline horizontal akhir dukungan SAP BW — empat penanda tahun: 2016 (BW 7.5 masuk mode maintenance), 2027 (akhir mainstream maintenance), 2030 (akhir extended maintenance berbayar), 2040 (batas komitmen BW/4HANA), tiap penanda dengan ikon kecil; gaya korporat biru-abu, teks Bahasa Indonesia]</w:t>
      </w:r>
    </w:p>
    <w:bookmarkStart w:id="18" w:name="X79d4461c86022502aebcde09f133acfc384098a"/>
    <w:p>
      <w:pPr>
        <w:pStyle w:val="Heading2"/>
      </w:pPr>
      <w:r>
        <w:t xml:space="preserve">Apa Itu Migrasi Data Warehouse dan Mengapa Sekarang Jadi Mendesak?</w:t>
      </w:r>
    </w:p>
    <w:p>
      <w:pPr>
        <w:pStyle w:val="FirstParagraph"/>
      </w:pPr>
      <w:r>
        <w:t xml:space="preserve">Migrasi data warehouse adalah pemindahan model data, data historis, pipeline ETL/ELT, dan laporan dari platform lama ke platform modern yang umumnya cloud-native. Yang membuatnya mendesak hari ini bukan tren, melainkan tenggat konkret: bagi pengguna SAP BW,</w:t>
      </w:r>
      <w:r>
        <w:t xml:space="preserve"> </w:t>
      </w:r>
      <w:r>
        <w:rPr>
          <w:i/>
          <w:iCs/>
        </w:rPr>
        <w:t xml:space="preserve">mainstream maintenance</w:t>
      </w:r>
      <w:r>
        <w:t xml:space="preserve"> </w:t>
      </w:r>
      <w:r>
        <w:t xml:space="preserve">berakhir, dan biaya menunda mulai melebihi biaya bertindak.</w:t>
      </w:r>
    </w:p>
    <w:p>
      <w:pPr>
        <w:pStyle w:val="BodyText"/>
      </w:pPr>
      <w:r>
        <w:t xml:space="preserve">Untuk perusahaan yang menjalankan SAP BW 7.5, tanggalnya sudah pasti.</w:t>
      </w:r>
      <w:r>
        <w:t xml:space="preserve"> </w:t>
      </w:r>
      <w:r>
        <w:rPr>
          <w:i/>
          <w:iCs/>
        </w:rPr>
        <w:t xml:space="preserve">Mainstream maintenance</w:t>
      </w:r>
      <w:r>
        <w:t xml:space="preserve"> </w:t>
      </w:r>
      <w:r>
        <w:t xml:space="preserve">berakhir</w:t>
      </w:r>
      <w:r>
        <w:t xml:space="preserve"> </w:t>
      </w:r>
      <w:r>
        <w:rPr>
          <w:b/>
          <w:bCs/>
        </w:rPr>
        <w:t xml:space="preserve">31 Desember 2027</w:t>
      </w:r>
      <w:r>
        <w:t xml:space="preserve">; setelah itu tersedia</w:t>
      </w:r>
      <w:r>
        <w:t xml:space="preserve"> </w:t>
      </w:r>
      <w:r>
        <w:rPr>
          <w:i/>
          <w:iCs/>
        </w:rPr>
        <w:t xml:space="preserve">extended maintenance</w:t>
      </w:r>
      <w:r>
        <w:t xml:space="preserve"> </w:t>
      </w:r>
      <w:r>
        <w:t xml:space="preserve">berbayar dengan premi sekitar dua persentase poin di atas tarif standar, hanya hingga 2030 (BARC,</w:t>
      </w:r>
      <w:r>
        <w:t xml:space="preserve"> </w:t>
      </w:r>
      <w:r>
        <w:rPr>
          <w:i/>
          <w:iCs/>
        </w:rPr>
        <w:t xml:space="preserve">End of Maintenance for SAP BW</w:t>
      </w:r>
      <w:r>
        <w:t xml:space="preserve">). Lebih jauh, sejak 2016 SAP tidak lagi menambahkan fitur baru ke BW 7.5; seluruh investasi diarahkan ke generasi berikutnya. Artinya sistem Anda bukan sekadar mendekati akhir dukungan, melainkan sudah lama berhenti berkembang.</w:t>
      </w:r>
    </w:p>
    <w:p>
      <w:pPr>
        <w:pStyle w:val="BodyText"/>
      </w:pPr>
      <w:r>
        <w:t xml:space="preserve">Pemicu kedua bersifat biaya dan kapabilitas. Platform warisan seperti Teradata dan Oracle dirancang untuk era</w:t>
      </w:r>
      <w:r>
        <w:t xml:space="preserve"> </w:t>
      </w:r>
      <w:r>
        <w:rPr>
          <w:i/>
          <w:iCs/>
        </w:rPr>
        <w:t xml:space="preserve">on-premise</w:t>
      </w:r>
      <w:r>
        <w:t xml:space="preserve">, ketika kapasitas dibeli di muka dan skala berarti membeli perangkat keras baru. Beban lisensi dan pemeliharaannya tetap, sementara kebutuhan analitik bergeser ke arah cloud,</w:t>
      </w:r>
      <w:r>
        <w:t xml:space="preserve"> </w:t>
      </w:r>
      <w:r>
        <w:rPr>
          <w:i/>
          <w:iCs/>
        </w:rPr>
        <w:t xml:space="preserve">real-time</w:t>
      </w:r>
      <w:r>
        <w:t xml:space="preserve">, dan kesiapan AI. Pasar transformasi digital Indonesia sendiri diproyeksikan tumbuh dari USD 24,37 miliar pada 2025 menjadi USD 69,57 miliar pada 2031, dengan cloud sebagai segmen dominan (proyeksi riset pasar Mordor Intelligence, yang perlu dibaca sebagai estimasi, bukan kepastian).</w:t>
      </w:r>
    </w:p>
    <w:p>
      <w:pPr>
        <w:pStyle w:val="BodyText"/>
      </w:pPr>
      <w:r>
        <w:t xml:space="preserve">Bagi pengguna SAP, ada satu kabar yang menenangkan. SAP BW/4HANA, generasi penerus BW, memiliki</w:t>
      </w:r>
      <w:r>
        <w:t xml:space="preserve"> </w:t>
      </w:r>
      <w:r>
        <w:rPr>
          <w:i/>
          <w:iCs/>
        </w:rPr>
        <w:t xml:space="preserve">mainstream maintenance</w:t>
      </w:r>
      <w:r>
        <w:t xml:space="preserve"> </w:t>
      </w:r>
      <w:r>
        <w:t xml:space="preserve">hingga</w:t>
      </w:r>
      <w:r>
        <w:t xml:space="preserve"> </w:t>
      </w:r>
      <w:r>
        <w:rPr>
          <w:b/>
          <w:bCs/>
        </w:rPr>
        <w:t xml:space="preserve">31 Desember 2030</w:t>
      </w:r>
      <w:r>
        <w:t xml:space="preserve"> </w:t>
      </w:r>
      <w:r>
        <w:t xml:space="preserve">dan komitmen pemeliharaan SAP setidaknya hingga</w:t>
      </w:r>
      <w:r>
        <w:t xml:space="preserve"> </w:t>
      </w:r>
      <w:r>
        <w:rPr>
          <w:b/>
          <w:bCs/>
        </w:rPr>
        <w:t xml:space="preserve">2040</w:t>
      </w:r>
      <w:r>
        <w:t xml:space="preserve">, selaras dengan roadmap S/4HANA. Jadi keputusan ini bukan</w:t>
      </w:r>
      <w:r>
        <w:t xml:space="preserve"> </w:t>
      </w:r>
      <w:r>
        <w:t xml:space="preserve">“pindah atau punah”</w:t>
      </w:r>
      <w:r>
        <w:t xml:space="preserve">, melainkan memilih jalur transisi yang tepat sebelum jendela waktu menyempit.</w:t>
      </w:r>
    </w:p>
    <w:bookmarkEnd w:id="18"/>
    <w:bookmarkStart w:id="20" w:name="X43d1e4993821e550c90e2cd01de9d55e60fef52"/>
    <w:p>
      <w:pPr>
        <w:pStyle w:val="Heading2"/>
      </w:pPr>
      <w:r>
        <w:t xml:space="preserve">Asesmen Sebelum Migrasi: Apa yang Harus Diinventarisasi</w:t>
      </w:r>
    </w:p>
    <w:p>
      <w:pPr>
        <w:pStyle w:val="FirstParagraph"/>
      </w:pPr>
      <w:r>
        <w:t xml:space="preserve">Sebelum memindahkan apa pun, inventarisasi dulu apa yang Anda miliki. Migrasi brownfield gagal paling sering bukan karena teknologi, melainkan karena tim meremehkan ruang lingkup, atau memindahkan data dan laporan yang sebenarnya sudah tak terpakai. Prinsipnya sederhana: jangan migrasikan sampah.</w:t>
      </w:r>
    </w:p>
    <w:p>
      <w:pPr>
        <w:pStyle w:val="BodyText"/>
      </w:pPr>
      <w:r>
        <w:t xml:space="preserve">Ada tiga kategori artefak warisan yang wajib dipetakan sebelum proyek dimulai (pola yang konsisten di berbagai panduan migrasi, termasuk Protiviti dan Exasol):</w:t>
      </w:r>
    </w:p>
    <w:p>
      <w:pPr>
        <w:pStyle w:val="Compact"/>
        <w:numPr>
          <w:ilvl w:val="0"/>
          <w:numId w:val="1001"/>
        </w:numPr>
      </w:pPr>
      <w:r>
        <w:rPr>
          <w:b/>
          <w:bCs/>
        </w:rPr>
        <w:t xml:space="preserve">Model data.</w:t>
      </w:r>
      <w:r>
        <w:t xml:space="preserve"> </w:t>
      </w:r>
      <w:r>
        <w:t xml:space="preserve">Objek seperti</w:t>
      </w:r>
      <w:r>
        <w:t xml:space="preserve"> </w:t>
      </w:r>
      <w:r>
        <w:rPr>
          <w:i/>
          <w:iCs/>
        </w:rPr>
        <w:t xml:space="preserve">InfoProvider</w:t>
      </w:r>
      <w:r>
        <w:t xml:space="preserve">,</w:t>
      </w:r>
      <w:r>
        <w:t xml:space="preserve"> </w:t>
      </w:r>
      <w:r>
        <w:rPr>
          <w:i/>
          <w:iCs/>
        </w:rPr>
        <w:t xml:space="preserve">InfoObject</w:t>
      </w:r>
      <w:r>
        <w:t xml:space="preserve">, dan DSO di lingkungan SAP BW, atau tabel dan skema fisik di Teradata/Oracle. Inilah fondasi yang harus dipetakan ulang ke model target, bukan disalin mentah-mentah.</w:t>
      </w:r>
    </w:p>
    <w:p>
      <w:pPr>
        <w:pStyle w:val="Compact"/>
        <w:numPr>
          <w:ilvl w:val="0"/>
          <w:numId w:val="1001"/>
        </w:numPr>
      </w:pPr>
      <w:r>
        <w:rPr>
          <w:b/>
          <w:bCs/>
        </w:rPr>
        <w:t xml:space="preserve">Laporan dan dasbor.</w:t>
      </w:r>
      <w:r>
        <w:t xml:space="preserve"> </w:t>
      </w:r>
      <w:r>
        <w:t xml:space="preserve">Pisahkan yang masih aktif dipakai dari yang sudah mati. Di lapangan, tim migrasi sering menemukan bahwa sebagian besar laporan warisan nyaris tak pernah dibuka lagi. Memindahkan semuanya hanya memindahkan beban.</w:t>
      </w:r>
    </w:p>
    <w:p>
      <w:pPr>
        <w:pStyle w:val="Compact"/>
        <w:numPr>
          <w:ilvl w:val="0"/>
          <w:numId w:val="1001"/>
        </w:numPr>
      </w:pPr>
      <w:r>
        <w:rPr>
          <w:b/>
          <w:bCs/>
        </w:rPr>
        <w:t xml:space="preserve">Pipeline integrasi.</w:t>
      </w:r>
      <w:r>
        <w:t xml:space="preserve"> </w:t>
      </w:r>
      <w:r>
        <w:t xml:space="preserve">Alur ETL/ELT dan koneksi ke sistem sumber. Sering ada dependensi tersembunyi:</w:t>
      </w:r>
      <w:r>
        <w:t xml:space="preserve"> </w:t>
      </w:r>
      <w:r>
        <w:rPr>
          <w:i/>
          <w:iCs/>
        </w:rPr>
        <w:t xml:space="preserve">job</w:t>
      </w:r>
      <w:r>
        <w:t xml:space="preserve"> </w:t>
      </w:r>
      <w:r>
        <w:t xml:space="preserve">yang berjalan diam-diam tiap malam dan baru ketahuan penting setelah dimatikan.</w:t>
      </w:r>
    </w:p>
    <w:p>
      <w:pPr>
        <w:pStyle w:val="FirstParagraph"/>
      </w:pPr>
      <w:r>
        <w:t xml:space="preserve">Satu kategori sering terlewat: kualitas data itu sendiri. Jika kode pelanggan ganda, satuan tak konsisten, dan angka historis tak pernah direkonsiliasi, memindahkannya ke platform baru hanya mereplikasi masalah lama dengan label</w:t>
      </w:r>
      <w:r>
        <w:t xml:space="preserve"> </w:t>
      </w:r>
      <w:r>
        <w:t xml:space="preserve">“modern”</w:t>
      </w:r>
      <w:r>
        <w:t xml:space="preserve">. Fase asesmen adalah kesempatan terbaik, dan sering satu-satunya, untuk membersihkan warisan alih-alih menduplikasinya.</w:t>
      </w:r>
    </w:p>
    <w:p>
      <w:pPr>
        <w:pStyle w:val="BodyText"/>
      </w:pPr>
      <w:r>
        <w:t xml:space="preserve">Asesmen laporan juga menentukan pekerjaan lanjutan di sisi analitik. Setiap laporan aktif yang dipertahankan harus dipetakan ulang ke platform baru, sehingga lapisan</w:t>
      </w:r>
      <w:r>
        <w:t xml:space="preserve"> </w:t>
      </w:r>
      <w:hyperlink r:id="rId19">
        <w:r>
          <w:rPr>
            <w:rStyle w:val="Hyperlink"/>
          </w:rPr>
          <w:t xml:space="preserve">Business Intelligence</w:t>
        </w:r>
      </w:hyperlink>
      <w:r>
        <w:t xml:space="preserve"> </w:t>
      </w:r>
      <w:r>
        <w:t xml:space="preserve">di atasnya tetap memberi angka yang sama setelah migrasi. Daftar laporan aktif yang bersih inilah yang menjadi ruang lingkup nyata proyek Anda.</w:t>
      </w:r>
    </w:p>
    <w:p>
      <w:pPr>
        <w:pStyle w:val="BodyText"/>
      </w:pPr>
      <w:r>
        <w:rPr>
          <w:i/>
          <w:iCs/>
        </w:rPr>
        <w:t xml:space="preserve">[Image 02: Diagram side-by-side dua skenario integrasi — kiri</w:t>
      </w:r>
      <w:r>
        <w:rPr>
          <w:i/>
          <w:iCs/>
        </w:rPr>
        <w:t xml:space="preserve"> </w:t>
      </w:r>
      <w:r>
        <w:rPr>
          <w:i/>
          <w:iCs/>
        </w:rPr>
        <w:t xml:space="preserve">“Federasi”</w:t>
      </w:r>
      <w:r>
        <w:rPr>
          <w:i/>
          <w:iCs/>
        </w:rPr>
        <w:t xml:space="preserve"> </w:t>
      </w:r>
      <w:r>
        <w:rPr>
          <w:i/>
          <w:iCs/>
        </w:rPr>
        <w:t xml:space="preserve">(panah dua arah antara sistem lama dan platform modern, label</w:t>
      </w:r>
      <w:r>
        <w:rPr>
          <w:i/>
          <w:iCs/>
        </w:rPr>
        <w:t xml:space="preserve"> </w:t>
      </w:r>
      <w:r>
        <w:rPr>
          <w:i/>
          <w:iCs/>
        </w:rPr>
        <w:t xml:space="preserve">“data tetap di sumber”</w:t>
      </w:r>
      <w:r>
        <w:rPr>
          <w:i/>
          <w:iCs/>
        </w:rPr>
        <w:t xml:space="preserve">), kanan</w:t>
      </w:r>
      <w:r>
        <w:rPr>
          <w:i/>
          <w:iCs/>
        </w:rPr>
        <w:t xml:space="preserve"> </w:t>
      </w:r>
      <w:r>
        <w:rPr>
          <w:i/>
          <w:iCs/>
        </w:rPr>
        <w:t xml:space="preserve">“Replikasi”</w:t>
      </w:r>
      <w:r>
        <w:rPr>
          <w:i/>
          <w:iCs/>
        </w:rPr>
        <w:t xml:space="preserve"> </w:t>
      </w:r>
      <w:r>
        <w:rPr>
          <w:i/>
          <w:iCs/>
        </w:rPr>
        <w:t xml:space="preserve">(panah satu arah, label</w:t>
      </w:r>
      <w:r>
        <w:rPr>
          <w:i/>
          <w:iCs/>
        </w:rPr>
        <w:t xml:space="preserve"> </w:t>
      </w:r>
      <w:r>
        <w:rPr>
          <w:i/>
          <w:iCs/>
        </w:rPr>
        <w:t xml:space="preserve">“data berpindah dan disalin”</w:t>
      </w:r>
      <w:r>
        <w:rPr>
          <w:i/>
          <w:iCs/>
        </w:rPr>
        <w:t xml:space="preserve">); di bawah masing-masing satu kalimat kapan memilihnya; gaya korporat biru-hijau, teks Bahasa Indonesia]</w:t>
      </w:r>
    </w:p>
    <w:bookmarkEnd w:id="20"/>
    <w:bookmarkStart w:id="21" w:name="X6d3ca3091d86987ab4753d9ce4d44e2a0f2e31a"/>
    <w:p>
      <w:pPr>
        <w:pStyle w:val="Heading2"/>
      </w:pPr>
      <w:r>
        <w:t xml:space="preserve">Apakah Bisa Migrasi dari Teradata atau Oracle ke Platform SAP?</w:t>
      </w:r>
    </w:p>
    <w:p>
      <w:pPr>
        <w:pStyle w:val="FirstParagraph"/>
      </w:pPr>
      <w:r>
        <w:t xml:space="preserve">Bisa. SAP Datasphere, platform data cloud yang kini menjadi inti dari SAP Business Data Cloud, dirancang untuk terhubung ke sumber SAP maupun non-SAP. Oracle didukung melalui</w:t>
      </w:r>
      <w:r>
        <w:t xml:space="preserve"> </w:t>
      </w:r>
      <w:r>
        <w:rPr>
          <w:i/>
          <w:iCs/>
        </w:rPr>
        <w:t xml:space="preserve">dedicated connector</w:t>
      </w:r>
      <w:r>
        <w:t xml:space="preserve"> </w:t>
      </w:r>
      <w:r>
        <w:t xml:space="preserve">bawaan, sementara database lain seperti Teradata umumnya dihubungkan via mekanisme</w:t>
      </w:r>
      <w:r>
        <w:t xml:space="preserve"> </w:t>
      </w:r>
      <w:r>
        <w:rPr>
          <w:i/>
          <w:iCs/>
        </w:rPr>
        <w:t xml:space="preserve">Generic JDBC</w:t>
      </w:r>
      <w:r>
        <w:t xml:space="preserve">. Pendekatan yang lazim: akses dulu, pindahkan kemudian.</w:t>
      </w:r>
    </w:p>
    <w:p>
      <w:pPr>
        <w:pStyle w:val="BodyText"/>
      </w:pPr>
      <w:r>
        <w:t xml:space="preserve">Mekanisme koneksinya perlu disebut secara akurat, karena di sinilah klaim sering melambung. Untuk</w:t>
      </w:r>
      <w:r>
        <w:t xml:space="preserve"> </w:t>
      </w:r>
      <w:r>
        <w:rPr>
          <w:b/>
          <w:bCs/>
        </w:rPr>
        <w:t xml:space="preserve">Oracle</w:t>
      </w:r>
      <w:r>
        <w:t xml:space="preserve">, SAP Datasphere menyediakan tipe koneksi khusus bawaan yang mendukung federasi maupun</w:t>
      </w:r>
      <w:r>
        <w:t xml:space="preserve"> </w:t>
      </w:r>
      <w:r>
        <w:rPr>
          <w:i/>
          <w:iCs/>
        </w:rPr>
        <w:t xml:space="preserve">data flow</w:t>
      </w:r>
      <w:r>
        <w:t xml:space="preserve"> </w:t>
      </w:r>
      <w:r>
        <w:t xml:space="preserve">(SAP Help Portal). Untuk</w:t>
      </w:r>
      <w:r>
        <w:t xml:space="preserve"> </w:t>
      </w:r>
      <w:r>
        <w:rPr>
          <w:b/>
          <w:bCs/>
        </w:rPr>
        <w:t xml:space="preserve">Teradata</w:t>
      </w:r>
      <w:r>
        <w:t xml:space="preserve">, dukungan terkonfirmasi melalui</w:t>
      </w:r>
      <w:r>
        <w:t xml:space="preserve"> </w:t>
      </w:r>
      <w:r>
        <w:rPr>
          <w:i/>
          <w:iCs/>
        </w:rPr>
        <w:t xml:space="preserve">Generic JDBC</w:t>
      </w:r>
      <w:r>
        <w:t xml:space="preserve">, bukan konektor khusus berlabel Teradata. Perbedaan ini berdampak pada perencanaan: koneksi generik biasanya menuntut konfigurasi dan pengujian lebih banyak. Hindari asumsi</w:t>
      </w:r>
      <w:r>
        <w:t xml:space="preserve"> </w:t>
      </w:r>
      <w:r>
        <w:t xml:space="preserve">“semua database didukung penuh secara langsung”</w:t>
      </w:r>
      <w:r>
        <w:t xml:space="preserve">; yang benar adalah</w:t>
      </w:r>
      <w:r>
        <w:t xml:space="preserve"> </w:t>
      </w:r>
      <w:r>
        <w:t xml:space="preserve">“didukung melalui mekanisme koneksi tertentu”</w:t>
      </w:r>
      <w:r>
        <w:t xml:space="preserve">.</w:t>
      </w:r>
    </w:p>
    <w:p>
      <w:pPr>
        <w:pStyle w:val="BodyText"/>
      </w:pPr>
      <w:r>
        <w:t xml:space="preserve">SAP Datasphere, yang diluncurkan Maret 2023 sebagai penerus SAP Data Warehouse Cloud dan dibangun di atas SAP BTP, menawarkan tiga moda integrasi yang menentukan strategi migrasi Anda (SAP News, Maret 2023):</w:t>
      </w:r>
    </w:p>
    <w:p>
      <w:pPr>
        <w:pStyle w:val="Compact"/>
        <w:numPr>
          <w:ilvl w:val="0"/>
          <w:numId w:val="1002"/>
        </w:numPr>
      </w:pPr>
      <w:r>
        <w:rPr>
          <w:b/>
          <w:bCs/>
        </w:rPr>
        <w:t xml:space="preserve">Federasi (</w:t>
      </w:r>
      <w:r>
        <w:rPr>
          <w:b/>
          <w:bCs/>
          <w:i/>
          <w:iCs/>
        </w:rPr>
        <w:t xml:space="preserve">federation</w:t>
      </w:r>
      <w:r>
        <w:rPr>
          <w:b/>
          <w:bCs/>
        </w:rPr>
        <w:t xml:space="preserve">):</w:t>
      </w:r>
      <w:r>
        <w:t xml:space="preserve"> </w:t>
      </w:r>
      <w:r>
        <w:t xml:space="preserve">akses virtual ke tabel di sistem sumber tanpa memindahkan datanya. Data tetap di Teradata atau Oracle, tetapi bisa dimodelkan dan dianalisis di platform baru.</w:t>
      </w:r>
    </w:p>
    <w:p>
      <w:pPr>
        <w:pStyle w:val="Compact"/>
        <w:numPr>
          <w:ilvl w:val="0"/>
          <w:numId w:val="1002"/>
        </w:numPr>
      </w:pPr>
      <w:r>
        <w:rPr>
          <w:b/>
          <w:bCs/>
        </w:rPr>
        <w:t xml:space="preserve">Replikasi (</w:t>
      </w:r>
      <w:r>
        <w:rPr>
          <w:b/>
          <w:bCs/>
          <w:i/>
          <w:iCs/>
        </w:rPr>
        <w:t xml:space="preserve">replication</w:t>
      </w:r>
      <w:r>
        <w:rPr>
          <w:b/>
          <w:bCs/>
        </w:rPr>
        <w:t xml:space="preserve">):</w:t>
      </w:r>
      <w:r>
        <w:t xml:space="preserve"> </w:t>
      </w:r>
      <w:r>
        <w:t xml:space="preserve">menyalin data ke platform baru, baik secara</w:t>
      </w:r>
      <w:r>
        <w:t xml:space="preserve"> </w:t>
      </w:r>
      <w:r>
        <w:rPr>
          <w:i/>
          <w:iCs/>
        </w:rPr>
        <w:t xml:space="preserve">batch</w:t>
      </w:r>
      <w:r>
        <w:t xml:space="preserve"> </w:t>
      </w:r>
      <w:r>
        <w:t xml:space="preserve">maupun</w:t>
      </w:r>
      <w:r>
        <w:t xml:space="preserve"> </w:t>
      </w:r>
      <w:r>
        <w:rPr>
          <w:i/>
          <w:iCs/>
        </w:rPr>
        <w:t xml:space="preserve">real-time</w:t>
      </w:r>
      <w:r>
        <w:t xml:space="preserve"> </w:t>
      </w:r>
      <w:r>
        <w:t xml:space="preserve">melalui</w:t>
      </w:r>
      <w:r>
        <w:t xml:space="preserve"> </w:t>
      </w:r>
      <w:r>
        <w:rPr>
          <w:i/>
          <w:iCs/>
        </w:rPr>
        <w:t xml:space="preserve">change data capture</w:t>
      </w:r>
      <w:r>
        <w:t xml:space="preserve"> </w:t>
      </w:r>
      <w:r>
        <w:t xml:space="preserve">untuk banyak tipe koneksi.</w:t>
      </w:r>
    </w:p>
    <w:p>
      <w:pPr>
        <w:pStyle w:val="Compact"/>
        <w:numPr>
          <w:ilvl w:val="0"/>
          <w:numId w:val="1002"/>
        </w:numPr>
      </w:pPr>
      <w:r>
        <w:rPr>
          <w:b/>
          <w:bCs/>
        </w:rPr>
        <w:t xml:space="preserve">Transformasi:</w:t>
      </w:r>
      <w:r>
        <w:t xml:space="preserve"> </w:t>
      </w:r>
      <w:r>
        <w:t xml:space="preserve">logika berbasis SQL untuk merapikan dan mengolah data dalam tabel lokal.</w:t>
      </w:r>
    </w:p>
    <w:p>
      <w:pPr>
        <w:pStyle w:val="FirstParagraph"/>
      </w:pPr>
      <w:r>
        <w:t xml:space="preserve">Strategi paling aman menggabungkan ketiganya secara bertahap: mulai dengan</w:t>
      </w:r>
      <w:r>
        <w:t xml:space="preserve"> </w:t>
      </w:r>
      <w:r>
        <w:rPr>
          <w:b/>
          <w:bCs/>
        </w:rPr>
        <w:t xml:space="preserve">federasi</w:t>
      </w:r>
      <w:r>
        <w:t xml:space="preserve"> </w:t>
      </w:r>
      <w:r>
        <w:t xml:space="preserve">agar tim bisa mengakses dan memvalidasi model data tanpa risiko pemindahan, lalu beralih ke</w:t>
      </w:r>
      <w:r>
        <w:t xml:space="preserve"> </w:t>
      </w:r>
      <w:r>
        <w:rPr>
          <w:b/>
          <w:bCs/>
        </w:rPr>
        <w:t xml:space="preserve">replikasi</w:t>
      </w:r>
      <w:r>
        <w:t xml:space="preserve"> </w:t>
      </w:r>
      <w:r>
        <w:t xml:space="preserve">per domain setelah model terbukti benar. Pendekatan</w:t>
      </w:r>
      <w:r>
        <w:t xml:space="preserve"> </w:t>
      </w:r>
      <w:r>
        <w:t xml:space="preserve">“</w:t>
      </w:r>
      <w:r>
        <w:rPr>
          <w:i/>
          <w:iCs/>
        </w:rPr>
        <w:t xml:space="preserve">access first, migrate later</w:t>
      </w:r>
      <w:r>
        <w:t xml:space="preserve">”</w:t>
      </w:r>
      <w:r>
        <w:t xml:space="preserve"> </w:t>
      </w:r>
      <w:r>
        <w:t xml:space="preserve">ini menahan godaan memindahkan semuanya sekaligus.</w:t>
      </w:r>
    </w:p>
    <w:bookmarkEnd w:id="21"/>
    <w:bookmarkStart w:id="22" w:name="X349fe8be994767a6c789f6ea163dce2926eb145"/>
    <w:p>
      <w:pPr>
        <w:pStyle w:val="Heading2"/>
      </w:pPr>
      <w:r>
        <w:t xml:space="preserve">Lima Fase Migrasi yang Meminimalkan Risiko Operasional</w:t>
      </w:r>
    </w:p>
    <w:p>
      <w:pPr>
        <w:pStyle w:val="FirstParagraph"/>
      </w:pPr>
      <w:r>
        <w:t xml:space="preserve">Migrasi brownfield yang aman berjalan dalam lima fase berurutan: asesmen, desain target, migrasi bertahap per domain,</w:t>
      </w:r>
      <w:r>
        <w:t xml:space="preserve"> </w:t>
      </w:r>
      <w:r>
        <w:rPr>
          <w:i/>
          <w:iCs/>
        </w:rPr>
        <w:t xml:space="preserve">parallel run</w:t>
      </w:r>
      <w:r>
        <w:t xml:space="preserve">, lalu</w:t>
      </w:r>
      <w:r>
        <w:t xml:space="preserve"> </w:t>
      </w:r>
      <w:r>
        <w:rPr>
          <w:i/>
          <w:iCs/>
        </w:rPr>
        <w:t xml:space="preserve">cutover</w:t>
      </w:r>
      <w:r>
        <w:t xml:space="preserve"> </w:t>
      </w:r>
      <w:r>
        <w:t xml:space="preserve">dan dekomisioning. Kuncinya adalah memindahkan data per domain bisnis, bukan sekaligus, dan tidak mematikan sistem lama sampai angka di platform baru terbukti cocok.</w:t>
      </w:r>
    </w:p>
    <w:p>
      <w:pPr>
        <w:pStyle w:val="BodyText"/>
      </w:pPr>
      <w:r>
        <w:t xml:space="preserve">Tiap fase punya risiko khasnya. Tabel berikut merangkum aktivitas, risiko utama, dan mitigasinya: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Aktivitas Utama</w:t>
            </w:r>
          </w:p>
        </w:tc>
        <w:tc>
          <w:tcPr/>
          <w:p>
            <w:pPr>
              <w:pStyle w:val="Compact"/>
            </w:pPr>
            <w:r>
              <w:t xml:space="preserve">Risiko Utama</w:t>
            </w:r>
          </w:p>
        </w:tc>
        <w:tc>
          <w:tcPr/>
          <w:p>
            <w:pPr>
              <w:pStyle w:val="Compact"/>
            </w:pPr>
            <w:r>
              <w:t xml:space="preserve">Mitigasi</w:t>
            </w:r>
          </w:p>
        </w:tc>
      </w:tr>
      <w:tr>
        <w:tc>
          <w:tcPr/>
          <w:p>
            <w:pPr>
              <w:pStyle w:val="Compact"/>
            </w:pPr>
            <w:r>
              <w:t xml:space="preserve">1. Asesmen &amp; Prioritisasi</w:t>
            </w:r>
          </w:p>
        </w:tc>
        <w:tc>
          <w:tcPr/>
          <w:p>
            <w:pPr>
              <w:pStyle w:val="Compact"/>
            </w:pPr>
            <w:r>
              <w:t xml:space="preserve">Inventarisasi model data, laporan aktif vs mati, integrasi, kualitas data</w:t>
            </w:r>
          </w:p>
        </w:tc>
        <w:tc>
          <w:tcPr/>
          <w:p>
            <w:pPr>
              <w:pStyle w:val="Compact"/>
            </w:pPr>
            <w:r>
              <w:t xml:space="preserve">Ruang lingkup diremehkan;</w:t>
            </w:r>
            <w:r>
              <w:t xml:space="preserve"> </w:t>
            </w:r>
            <w:r>
              <w:t xml:space="preserve">“</w:t>
            </w:r>
            <w:r>
              <w:rPr>
                <w:i/>
                <w:iCs/>
              </w:rPr>
              <w:t xml:space="preserve">garbage in, garbage out</w:t>
            </w:r>
            <w:r>
              <w:t xml:space="preserve">”</w:t>
            </w:r>
          </w:p>
        </w:tc>
        <w:tc>
          <w:tcPr/>
          <w:p>
            <w:pPr>
              <w:pStyle w:val="Compact"/>
            </w:pPr>
            <w:r>
              <w:t xml:space="preserve">Audit laporan aktif; bersihkan data sebelum pindah</w:t>
            </w:r>
          </w:p>
        </w:tc>
      </w:tr>
      <w:tr>
        <w:tc>
          <w:tcPr/>
          <w:p>
            <w:pPr>
              <w:pStyle w:val="Compact"/>
            </w:pPr>
            <w:r>
              <w:t xml:space="preserve">2. Desain Target &amp; Pemetaan</w:t>
            </w:r>
          </w:p>
        </w:tc>
        <w:tc>
          <w:tcPr/>
          <w:p>
            <w:pPr>
              <w:pStyle w:val="Compact"/>
            </w:pPr>
            <w:r>
              <w:t xml:space="preserve">Rancang arsitektur baru; petakan objek lama ke model baru</w:t>
            </w:r>
          </w:p>
        </w:tc>
        <w:tc>
          <w:tcPr/>
          <w:p>
            <w:pPr>
              <w:pStyle w:val="Compact"/>
            </w:pPr>
            <w:r>
              <w:t xml:space="preserve">Ketidakcocokan model (objek BW ↔ platform baru)</w:t>
            </w:r>
          </w:p>
        </w:tc>
        <w:tc>
          <w:tcPr/>
          <w:p>
            <w:pPr>
              <w:pStyle w:val="Compact"/>
            </w:pPr>
            <w:r>
              <w:t xml:space="preserve">Libatkan arsitek data sejak awal; iterasi kecil</w:t>
            </w:r>
          </w:p>
        </w:tc>
      </w:tr>
      <w:tr>
        <w:tc>
          <w:tcPr/>
          <w:p>
            <w:pPr>
              <w:pStyle w:val="Compact"/>
            </w:pPr>
            <w:r>
              <w:t xml:space="preserve">3. Migrasi Bertahap per Domain</w:t>
            </w:r>
          </w:p>
        </w:tc>
        <w:tc>
          <w:tcPr/>
          <w:p>
            <w:pPr>
              <w:pStyle w:val="Compact"/>
            </w:pPr>
            <w:r>
              <w:t xml:space="preserve">Pindahkan data per domain (keuangan, SCM, produksi)</w:t>
            </w:r>
          </w:p>
        </w:tc>
        <w:tc>
          <w:tcPr/>
          <w:p>
            <w:pPr>
              <w:pStyle w:val="Compact"/>
            </w:pPr>
            <w:r>
              <w:t xml:space="preserve">Downtime atau duplikasi bila dilakukan sekaligus</w:t>
            </w:r>
          </w:p>
        </w:tc>
        <w:tc>
          <w:tcPr/>
          <w:p>
            <w:pPr>
              <w:pStyle w:val="Compact"/>
            </w:pPr>
            <w:r>
              <w:t xml:space="preserve">Strategi</w:t>
            </w:r>
            <w:r>
              <w:t xml:space="preserve"> </w:t>
            </w:r>
            <w:r>
              <w:t xml:space="preserve">“akses dulu via federasi, baru replikasi”</w:t>
            </w:r>
          </w:p>
        </w:tc>
      </w:tr>
      <w:tr>
        <w:tc>
          <w:tcPr/>
          <w:p>
            <w:pPr>
              <w:pStyle w:val="Compact"/>
            </w:pPr>
            <w:r>
              <w:t xml:space="preserve">4. Parallel Run</w:t>
            </w:r>
          </w:p>
        </w:tc>
        <w:tc>
          <w:tcPr/>
          <w:p>
            <w:pPr>
              <w:pStyle w:val="Compact"/>
            </w:pPr>
            <w:r>
              <w:t xml:space="preserve">Jalankan sistem lama &amp; baru berdampingan; rekonsiliasi angka</w:t>
            </w:r>
          </w:p>
        </w:tc>
        <w:tc>
          <w:tcPr/>
          <w:p>
            <w:pPr>
              <w:pStyle w:val="Compact"/>
            </w:pPr>
            <w:r>
              <w:t xml:space="preserve">Kriteria penerimaan kabur; ragu kapan cutover aman</w:t>
            </w:r>
          </w:p>
        </w:tc>
        <w:tc>
          <w:tcPr/>
          <w:p>
            <w:pPr>
              <w:pStyle w:val="Compact"/>
            </w:pPr>
            <w:r>
              <w:t xml:space="preserve">Tetapkan</w:t>
            </w:r>
            <w:r>
              <w:t xml:space="preserve"> </w:t>
            </w:r>
            <w:r>
              <w:rPr>
                <w:i/>
                <w:iCs/>
              </w:rPr>
              <w:t xml:space="preserve">acceptance criteria</w:t>
            </w:r>
            <w:r>
              <w:t xml:space="preserve"> </w:t>
            </w:r>
            <w:r>
              <w:t xml:space="preserve">tertulis sebelum mulai</w:t>
            </w:r>
          </w:p>
        </w:tc>
      </w:tr>
      <w:tr>
        <w:tc>
          <w:tcPr/>
          <w:p>
            <w:pPr>
              <w:pStyle w:val="Compact"/>
            </w:pPr>
            <w:r>
              <w:t xml:space="preserve">5. Cutover &amp; Dekomisioning</w:t>
            </w:r>
          </w:p>
        </w:tc>
        <w:tc>
          <w:tcPr/>
          <w:p>
            <w:pPr>
              <w:pStyle w:val="Compact"/>
            </w:pPr>
            <w:r>
              <w:t xml:space="preserve">Matikan sistem lama; validasi final; dokumentasi</w:t>
            </w:r>
          </w:p>
        </w:tc>
        <w:tc>
          <w:tcPr/>
          <w:p>
            <w:pPr>
              <w:pStyle w:val="Compact"/>
            </w:pPr>
            <w:r>
              <w:t xml:space="preserve">Kehilangan data historis; dependensi tersembunyi</w:t>
            </w:r>
          </w:p>
        </w:tc>
        <w:tc>
          <w:tcPr/>
          <w:p>
            <w:pPr>
              <w:pStyle w:val="Compact"/>
            </w:pPr>
            <w:r>
              <w:t xml:space="preserve">Arsipkan data lama; uji dependensi end-to-end</w:t>
            </w:r>
          </w:p>
        </w:tc>
      </w:tr>
    </w:tbl>
    <w:p>
      <w:pPr>
        <w:pStyle w:val="BodyText"/>
      </w:pPr>
      <w:r>
        <w:t xml:space="preserve">Fase keempat layak mendapat perhatian khusus.</w:t>
      </w:r>
      <w:r>
        <w:t xml:space="preserve"> </w:t>
      </w:r>
      <w:r>
        <w:rPr>
          <w:b/>
          <w:bCs/>
        </w:rPr>
        <w:t xml:space="preserve">Parallel run</w:t>
      </w:r>
      <w:r>
        <w:t xml:space="preserve"> </w:t>
      </w:r>
      <w:r>
        <w:t xml:space="preserve">berarti menjalankan data warehouse lama dan baru secara berdampingan selama periode tertentu, lalu membandingkan keluarannya, yakni jumlah</w:t>
      </w:r>
      <w:r>
        <w:t xml:space="preserve"> </w:t>
      </w:r>
      <w:r>
        <w:rPr>
          <w:i/>
          <w:iCs/>
        </w:rPr>
        <w:t xml:space="preserve">record</w:t>
      </w:r>
      <w:r>
        <w:t xml:space="preserve">, angka KPI, dan isi laporan, sampai konsisten sebelum</w:t>
      </w:r>
      <w:r>
        <w:t xml:space="preserve"> </w:t>
      </w:r>
      <w:r>
        <w:rPr>
          <w:i/>
          <w:iCs/>
        </w:rPr>
        <w:t xml:space="preserve">cutover</w:t>
      </w:r>
      <w:r>
        <w:t xml:space="preserve">. Inilah pengaman terpenting: tanpa rekonsiliasi sistematis, kesalahan model di platform baru baru terdeteksi setelah sistem lama sudah dimatikan, ketika memperbaikinya jauh lebih mahal.</w:t>
      </w:r>
    </w:p>
    <w:p>
      <w:pPr>
        <w:pStyle w:val="BodyText"/>
      </w:pPr>
      <w:r>
        <w:t xml:space="preserve">Dari pengalaman proyek migrasi, rekonsiliasi angka antara sistem lama dan baru justru titik yang paling sering diabaikan. Tim cenderung menganggap</w:t>
      </w:r>
      <w:r>
        <w:t xml:space="preserve"> </w:t>
      </w:r>
      <w:r>
        <w:t xml:space="preserve">“kalau laporan muncul, berarti benar”</w:t>
      </w:r>
      <w:r>
        <w:t xml:space="preserve">. Padahal yang menentukan adalah</w:t>
      </w:r>
      <w:r>
        <w:t xml:space="preserve"> </w:t>
      </w:r>
      <w:r>
        <w:rPr>
          <w:i/>
          <w:iCs/>
        </w:rPr>
        <w:t xml:space="preserve">kriteria penerimaan</w:t>
      </w:r>
      <w:r>
        <w:t xml:space="preserve"> </w:t>
      </w:r>
      <w:r>
        <w:t xml:space="preserve">(</w:t>
      </w:r>
      <w:r>
        <w:rPr>
          <w:i/>
          <w:iCs/>
        </w:rPr>
        <w:t xml:space="preserve">acceptance criteria</w:t>
      </w:r>
      <w:r>
        <w:t xml:space="preserve">) yang disepakati tertulis sebelum parallel run dimulai: berapa toleransi selisih, laporan mana yang wajib cocok 100%, siapa yang menyatakan</w:t>
      </w:r>
      <w:r>
        <w:t xml:space="preserve"> </w:t>
      </w:r>
      <w:r>
        <w:t xml:space="preserve">“lulus”</w:t>
      </w:r>
      <w:r>
        <w:t xml:space="preserve">. Tanpa itu, fase ini bisa molor tanpa ujung.</w:t>
      </w:r>
    </w:p>
    <w:p>
      <w:pPr>
        <w:pStyle w:val="BodyText"/>
      </w:pPr>
      <w:r>
        <w:t xml:space="preserve">Satu hal yang sebaiknya tidak dijanjikan:</w:t>
      </w:r>
      <w:r>
        <w:t xml:space="preserve"> </w:t>
      </w:r>
      <w:r>
        <w:rPr>
          <w:i/>
          <w:iCs/>
        </w:rPr>
        <w:t xml:space="preserve">zero downtime</w:t>
      </w:r>
      <w:r>
        <w:t xml:space="preserve"> </w:t>
      </w:r>
      <w:r>
        <w:t xml:space="preserve">absolut. Parallel run dan migrasi bertahap memang meminimalkan risiko, tetapi jendela</w:t>
      </w:r>
      <w:r>
        <w:t xml:space="preserve"> </w:t>
      </w:r>
      <w:r>
        <w:rPr>
          <w:i/>
          <w:iCs/>
        </w:rPr>
        <w:t xml:space="preserve">cutover</w:t>
      </w:r>
      <w:r>
        <w:t xml:space="preserve"> </w:t>
      </w:r>
      <w:r>
        <w:t xml:space="preserve">selalu membawa potensi gangguan, terutama untuk pipeline yang mendekati</w:t>
      </w:r>
      <w:r>
        <w:t xml:space="preserve"> </w:t>
      </w:r>
      <w:r>
        <w:rPr>
          <w:i/>
          <w:iCs/>
        </w:rPr>
        <w:t xml:space="preserve">real-time</w:t>
      </w:r>
      <w:r>
        <w:t xml:space="preserve">. Framing yang jujur adalah</w:t>
      </w:r>
      <w:r>
        <w:t xml:space="preserve"> </w:t>
      </w:r>
      <w:r>
        <w:t xml:space="preserve">“jendela cutover terkontrol”</w:t>
      </w:r>
      <w:r>
        <w:t xml:space="preserve">, bukan</w:t>
      </w:r>
      <w:r>
        <w:t xml:space="preserve"> </w:t>
      </w:r>
      <w:r>
        <w:t xml:space="preserve">“tanpa gangguan sama sekali”</w:t>
      </w:r>
      <w:r>
        <w:t xml:space="preserve">. Ini acuan lapangan yang umum, bukan jaminan mutlak.</w:t>
      </w:r>
    </w:p>
    <w:p>
      <w:pPr>
        <w:pStyle w:val="BodyText"/>
      </w:pPr>
      <w:r>
        <w:rPr>
          <w:i/>
          <w:iCs/>
        </w:rPr>
        <w:t xml:space="preserve">[Image 03: Infografik vertikal lima fase migrasi brownfield berurutan — (1) Asesmen &amp; Inventarisasi, (2) Desain Target &amp; Pemetaan, (3) Migrasi Bertahap per Domain, (4) Parallel Run &amp; Rekonsiliasi, (5) Cutover &amp; Dekomisioning; tiap fase satu ikon dan satu label risiko utama; warna progresif abu menuju hijau, teks Bahasa Indonesia]</w:t>
      </w:r>
    </w:p>
    <w:bookmarkEnd w:id="22"/>
    <w:bookmarkStart w:id="23" w:name="X7e8c4b4d7ee04f2bc17722e572b7e982620d4f7"/>
    <w:p>
      <w:pPr>
        <w:pStyle w:val="Heading2"/>
      </w:pPr>
      <w:r>
        <w:t xml:space="preserve">Kapan Sebaiknya Anda BELUM Bermigrasi (atau Tidak Sama Sekali)?</w:t>
      </w:r>
    </w:p>
    <w:p>
      <w:pPr>
        <w:pStyle w:val="FirstParagraph"/>
      </w:pPr>
      <w:r>
        <w:t xml:space="preserve">Bagian ini jarang ditulis, padahal penting: migrasi bukan tujuan, hasil bisnis adalah tujuan. Anda kemungkinan belum perlu bermigrasi penuh jika sistem warisan masih stabil dengan dukungan panjang, jika belum ada kapasitas untuk</w:t>
      </w:r>
      <w:r>
        <w:t xml:space="preserve"> </w:t>
      </w:r>
      <w:r>
        <w:rPr>
          <w:i/>
          <w:iCs/>
        </w:rPr>
        <w:t xml:space="preserve">parallel run</w:t>
      </w:r>
      <w:r>
        <w:t xml:space="preserve"> </w:t>
      </w:r>
      <w:r>
        <w:t xml:space="preserve">yang benar, atau jika federasi sudah cukup memenuhi kebutuhan analitik saat ini.</w:t>
      </w:r>
    </w:p>
    <w:p>
      <w:pPr>
        <w:pStyle w:val="BodyText"/>
      </w:pPr>
      <w:r>
        <w:t xml:space="preserve">Beberapa kondisi yang menjadi tanda untuk menunda atau menahan diri:</w:t>
      </w:r>
    </w:p>
    <w:p>
      <w:pPr>
        <w:pStyle w:val="Compact"/>
        <w:numPr>
          <w:ilvl w:val="0"/>
          <w:numId w:val="1003"/>
        </w:numPr>
      </w:pPr>
      <w:r>
        <w:rPr>
          <w:b/>
          <w:bCs/>
        </w:rPr>
        <w:t xml:space="preserve">Dukungan warisan masih panjang.</w:t>
      </w:r>
      <w:r>
        <w:t xml:space="preserve"> </w:t>
      </w:r>
      <w:r>
        <w:t xml:space="preserve">Jika Anda menjalankan SAP BW/4HANA (didukung hingga 2030, komitmen 2040), tekanan tenggat tidak sama dengan pengguna BW 7.5. Migrasi karena panik jarang menghasilkan keputusan baik.</w:t>
      </w:r>
    </w:p>
    <w:p>
      <w:pPr>
        <w:pStyle w:val="Compact"/>
        <w:numPr>
          <w:ilvl w:val="0"/>
          <w:numId w:val="1003"/>
        </w:numPr>
      </w:pPr>
      <w:r>
        <w:rPr>
          <w:b/>
          <w:bCs/>
        </w:rPr>
        <w:t xml:space="preserve">Tidak ada kapasitas untuk parallel run.</w:t>
      </w:r>
      <w:r>
        <w:t xml:space="preserve"> </w:t>
      </w:r>
      <w:r>
        <w:t xml:space="preserve">Menjalankan dua sistem berdampingan menuntut sumber daya dan disiplin rekonsiliasi. Tanpa itu, godaan melakukan</w:t>
      </w:r>
      <w:r>
        <w:t xml:space="preserve"> </w:t>
      </w:r>
      <w:r>
        <w:t xml:space="preserve">“</w:t>
      </w:r>
      <w:r>
        <w:rPr>
          <w:i/>
          <w:iCs/>
        </w:rPr>
        <w:t xml:space="preserve">big bang</w:t>
      </w:r>
      <w:r>
        <w:t xml:space="preserve">”</w:t>
      </w:r>
      <w:r>
        <w:t xml:space="preserve"> </w:t>
      </w:r>
      <w:r>
        <w:t xml:space="preserve">(mematikan yang lama dan langsung menyalakan yang baru) akan membesar, dan inilah pola kegagalan paling klasik.</w:t>
      </w:r>
    </w:p>
    <w:p>
      <w:pPr>
        <w:pStyle w:val="Compact"/>
        <w:numPr>
          <w:ilvl w:val="0"/>
          <w:numId w:val="1003"/>
        </w:numPr>
      </w:pPr>
      <w:r>
        <w:rPr>
          <w:b/>
          <w:bCs/>
        </w:rPr>
        <w:t xml:space="preserve">Federasi sudah memenuhi kebutuhan.</w:t>
      </w:r>
      <w:r>
        <w:t xml:space="preserve"> </w:t>
      </w:r>
      <w:r>
        <w:t xml:space="preserve">Banyak organisasi berhenti di tahap federasi: data tetap di sistem lama, diakses virtual di platform baru. Ini valid sebagai strategi transisi yang lebih murah dan cepat, selama Anda sadar bahwa ini menunda, bukan menyelesaikan, beban lisensi sistem sumber.</w:t>
      </w:r>
    </w:p>
    <w:p>
      <w:pPr>
        <w:pStyle w:val="FirstParagraph"/>
      </w:pPr>
      <w:r>
        <w:t xml:space="preserve">Perlu disebut juga bahwa SAP bukan satu-satunya tujuan. Perusahaan dengan investasi</w:t>
      </w:r>
      <w:r>
        <w:t xml:space="preserve"> </w:t>
      </w:r>
      <w:r>
        <w:rPr>
          <w:i/>
          <w:iCs/>
        </w:rPr>
        <w:t xml:space="preserve">hyperscaler</w:t>
      </w:r>
      <w:r>
        <w:t xml:space="preserve"> </w:t>
      </w:r>
      <w:r>
        <w:t xml:space="preserve">yang sudah besar mungkin mempertimbangkan platform non-SAP. Bagi pengguna SAP, arah konvergensi SAP sendiri (SAP Business Data Cloud, yang menyatukan Datasphere, SAP Analytics Cloud, dan kemampuan BW sebagai layanan cloud) memberi jalur modernisasi bertahap tanpa harus langsung meninggalkan investasi BW. Intinya: koeksistensi dan transisi bertahap adalah pilihan sah, bukan kegagalan komitmen.</w:t>
      </w:r>
    </w:p>
    <w:bookmarkEnd w:id="23"/>
    <w:bookmarkStart w:id="30" w:name="faq-pertanyaan-yang-sering-diajukan"/>
    <w:p>
      <w:pPr>
        <w:pStyle w:val="Heading2"/>
      </w:pPr>
      <w:r>
        <w:t xml:space="preserve">FAQ (Pertanyaan yang Sering Diajukan)</w:t>
      </w:r>
    </w:p>
    <w:bookmarkStart w:id="24" w:name="X7496b7e1b8f41056ff0f81606788d7a898b24cc"/>
    <w:p>
      <w:pPr>
        <w:pStyle w:val="Heading3"/>
      </w:pPr>
      <w:r>
        <w:t xml:space="preserve">Bagaimana cara memulai migrasi dari data warehouse lama?</w:t>
      </w:r>
    </w:p>
    <w:p>
      <w:pPr>
        <w:pStyle w:val="FirstParagraph"/>
      </w:pPr>
      <w:r>
        <w:t xml:space="preserve">Mulai dengan asesmen inventaris: petakan semua model data, laporan aktif versus tak terpakai, pipeline integrasi, dan dependensi sistem. Jangan migrasikan semuanya, karena banyak laporan warisan tak pernah dibuka lagi. Setelah inventaris bersih, tentukan platform target (misalnya SAP Datasphere atau BW/4HANA), lalu jalankan migrasi per domain data secara bertahap, bukan sekaligus.</w:t>
      </w:r>
    </w:p>
    <w:bookmarkEnd w:id="24"/>
    <w:bookmarkStart w:id="25" w:name="Xd23cc8be143f05cd05707611d2d33a3902bb5fe"/>
    <w:p>
      <w:pPr>
        <w:pStyle w:val="Heading3"/>
      </w:pPr>
      <w:r>
        <w:t xml:space="preserve">Apakah Teradata atau Oracle bisa dimigrasikan ke SAP Datasphere?</w:t>
      </w:r>
    </w:p>
    <w:p>
      <w:pPr>
        <w:pStyle w:val="FirstParagraph"/>
      </w:pPr>
      <w:r>
        <w:t xml:space="preserve">Ya. SAP Datasphere memiliki</w:t>
      </w:r>
      <w:r>
        <w:t xml:space="preserve"> </w:t>
      </w:r>
      <w:r>
        <w:rPr>
          <w:i/>
          <w:iCs/>
        </w:rPr>
        <w:t xml:space="preserve">dedicated connector</w:t>
      </w:r>
      <w:r>
        <w:t xml:space="preserve"> </w:t>
      </w:r>
      <w:r>
        <w:t xml:space="preserve">bawaan untuk Oracle, dan mendukung sumber non-SAP lain seperti Teradata melalui mekanisme</w:t>
      </w:r>
      <w:r>
        <w:t xml:space="preserve"> </w:t>
      </w:r>
      <w:r>
        <w:rPr>
          <w:i/>
          <w:iCs/>
        </w:rPr>
        <w:t xml:space="preserve">Generic JDBC</w:t>
      </w:r>
      <w:r>
        <w:t xml:space="preserve">. Strategi yang umum adalah federasi terlebih dahulu, yaitu mengakses data Teradata/Oracle secara virtual tanpa memindahkannya, lalu replikasi bertahap per domain setelah model data divalidasi.</w:t>
      </w:r>
    </w:p>
    <w:bookmarkEnd w:id="25"/>
    <w:bookmarkStart w:id="26" w:name="Xaade382a8ee0a04a004099fe22b0c2398546534"/>
    <w:p>
      <w:pPr>
        <w:pStyle w:val="Heading3"/>
      </w:pPr>
      <w:r>
        <w:t xml:space="preserve">Kapan dukungan SAP BW lama (BW 7.5) berakhir?</w:t>
      </w:r>
    </w:p>
    <w:p>
      <w:pPr>
        <w:pStyle w:val="FirstParagraph"/>
      </w:pPr>
      <w:r>
        <w:rPr>
          <w:i/>
          <w:iCs/>
        </w:rPr>
        <w:t xml:space="preserve">Mainstream maintenance</w:t>
      </w:r>
      <w:r>
        <w:t xml:space="preserve"> </w:t>
      </w:r>
      <w:r>
        <w:t xml:space="preserve">SAP BW 7.5 berakhir 31 Desember 2027. Setelahnya tersedia</w:t>
      </w:r>
      <w:r>
        <w:t xml:space="preserve"> </w:t>
      </w:r>
      <w:r>
        <w:rPr>
          <w:i/>
          <w:iCs/>
        </w:rPr>
        <w:t xml:space="preserve">extended maintenance</w:t>
      </w:r>
      <w:r>
        <w:t xml:space="preserve"> </w:t>
      </w:r>
      <w:r>
        <w:t xml:space="preserve">berbayar (premi sekitar dua persentase poin tambahan) hingga 2030. SAP telah menghentikan pengembangan fitur baru untuk BW 7.5 sejak 2016. Sebagai pembanding, SAP BW/4HANA mendapat komitmen pemeliharaan setidaknya hingga 2040.</w:t>
      </w:r>
    </w:p>
    <w:bookmarkEnd w:id="26"/>
    <w:bookmarkStart w:id="27" w:name="X48114bbb144abefb982f00ca33437a008e319af"/>
    <w:p>
      <w:pPr>
        <w:pStyle w:val="Heading3"/>
      </w:pPr>
      <w:r>
        <w:t xml:space="preserve">Apa itu parallel run dan mengapa penting dalam migrasi data warehouse?</w:t>
      </w:r>
    </w:p>
    <w:p>
      <w:pPr>
        <w:pStyle w:val="FirstParagraph"/>
      </w:pPr>
      <w:r>
        <w:t xml:space="preserve">Parallel run adalah fase ketika sistem data warehouse lama dan baru dijalankan bersamaan selama periode tertentu. Tim membandingkan keluarannya, yakni laporan, angka KPI, dan jumlah</w:t>
      </w:r>
      <w:r>
        <w:t xml:space="preserve"> </w:t>
      </w:r>
      <w:r>
        <w:rPr>
          <w:i/>
          <w:iCs/>
        </w:rPr>
        <w:t xml:space="preserve">record</w:t>
      </w:r>
      <w:r>
        <w:t xml:space="preserve">, lalu memastikan hasilnya konsisten sebelum</w:t>
      </w:r>
      <w:r>
        <w:t xml:space="preserve"> </w:t>
      </w:r>
      <w:r>
        <w:rPr>
          <w:i/>
          <w:iCs/>
        </w:rPr>
        <w:t xml:space="preserve">cutover</w:t>
      </w:r>
      <w:r>
        <w:t xml:space="preserve">. Ini pengaman terpenting: tanpa rekonsiliasi angka yang sistematis, kesalahan model di platform baru baru ketahuan setelah sistem lama dimatikan.</w:t>
      </w:r>
    </w:p>
    <w:bookmarkEnd w:id="27"/>
    <w:bookmarkStart w:id="28" w:name="X60ea1df25bd3978fce8ff3084e0badd3fe143cb"/>
    <w:p>
      <w:pPr>
        <w:pStyle w:val="Heading3"/>
      </w:pPr>
      <w:r>
        <w:t xml:space="preserve">Berapa lama proyek migrasi data warehouse biasanya?</w:t>
      </w:r>
    </w:p>
    <w:p>
      <w:pPr>
        <w:pStyle w:val="FirstParagraph"/>
      </w:pPr>
      <w:r>
        <w:t xml:space="preserve">Rentangnya luas. Proyek</w:t>
      </w:r>
      <w:r>
        <w:t xml:space="preserve"> </w:t>
      </w:r>
      <w:r>
        <w:rPr>
          <w:i/>
          <w:iCs/>
        </w:rPr>
        <w:t xml:space="preserve">lift-and-shift</w:t>
      </w:r>
      <w:r>
        <w:t xml:space="preserve"> </w:t>
      </w:r>
      <w:r>
        <w:t xml:space="preserve">sederhana bisa selesai dalam 6–9 bulan, sementara migrasi bertahap yang komprehensif untuk enterprise besar umumnya 18–24 bulan. Sekitar seperempat total waktu biasanya habis untuk validasi data, pengujian rekonsiliasi, dan QA pasca-migrasi. Ini estimasi umum di lapangan, bukan angka pasti; kompleksitas sumber dan jumlah laporan sangat memengaruhinya.</w:t>
      </w:r>
    </w:p>
    <w:bookmarkEnd w:id="28"/>
    <w:bookmarkStart w:id="29" w:name="X44ceca83ce8f9e021675ad03a120a0bb829cad1"/>
    <w:p>
      <w:pPr>
        <w:pStyle w:val="Heading3"/>
      </w:pPr>
      <w:r>
        <w:t xml:space="preserve">Apakah semua laporan lama harus dipindahkan ke platform baru?</w:t>
      </w:r>
    </w:p>
    <w:p>
      <w:pPr>
        <w:pStyle w:val="FirstParagraph"/>
      </w:pPr>
      <w:r>
        <w:t xml:space="preserve">Tidak. Dalam praktik migrasi, sebagian besar laporan warisan sering ditemukan tak lagi aktif digunakan. Memindahkan semuanya hanya memperlambat proyek dan menaikkan biaya. Pendekatan yang lebih efektif: inventarisasi laporan aktif versus tak terpakai, pindahkan hanya yang masih dibutuhkan bisnis, lalu arsipkan atau matikan sisanya. Migrasi adalah kesempatan membersihkan, bukan menduplikasi.</w:t>
      </w:r>
    </w:p>
    <w:bookmarkEnd w:id="29"/>
    <w:bookmarkEnd w:id="30"/>
    <w:bookmarkStart w:id="31" w:name="kesimpulan"/>
    <w:p>
      <w:pPr>
        <w:pStyle w:val="Heading2"/>
      </w:pPr>
      <w:r>
        <w:t xml:space="preserve">Kesimpulan</w:t>
      </w:r>
    </w:p>
    <w:p>
      <w:pPr>
        <w:pStyle w:val="FirstParagraph"/>
      </w:pPr>
      <w:r>
        <w:t xml:space="preserve">Memindahkan data warehouse warisan ke platform modern jarang gagal karena teknologinya. Ia gagal karena ruang lingkup yang diremehkan, data kotor yang ikut terbawa, dan rekonsiliasi angka yang dianggap remeh. Empat keputusan menentukan hasilnya: inventaris yang jujur, strategi konektor yang akurat, migrasi per domain, dan parallel run dengan kriteria penerimaan yang jelas. Sebagai SAP Platinum Partner melalui United VARs, Soltius mendampingi perusahaan Indonesia memigrasikan lanskap data warehouse warisan ke platform modern, mulai dari asesmen inventaris, desain arsitektur target, parallel run, hingga dekomisioning sistem lama, dengan pendekatan bertahap yang menjaga operasional tetap berjalan.</w:t>
      </w:r>
    </w:p>
    <w:p>
      <w:pPr>
        <w:pStyle w:val="BodyText"/>
      </w:pPr>
      <w:r>
        <w:t xml:space="preserve">Untuk mendiskusikan kesiapan migrasi data warehouse di perusahaan Anda, kunjungi soltius.co.id dan mulai percakapan dengan tim konsultan.</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ata-warehouse-solutions"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ata-warehouse-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2026-06-08T11:34:41Z</dcterms:created>
  <dcterms:modified xsi:type="dcterms:W3CDTF">2026-06-08T11:34:41Z</dcterms:modified>
</cp:coreProperties>
</file>

<file path=docProps/custom.xml><?xml version="1.0" encoding="utf-8"?>
<Properties xmlns="http://schemas.openxmlformats.org/officeDocument/2006/custom-properties" xmlns:vt="http://schemas.openxmlformats.org/officeDocument/2006/docPropsVTypes"/>
</file>