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"Data Warehouse sebagai Fondasi AI: Model Anda Hanya Sebaik Datanya"</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untuk AI: Fondasi yang Sering Terlewat"</w:t>
      </w:r>
      <w:r>
        <w:br/>
      </w:r>
      <w:r>
        <w:rPr>
          <w:rStyle w:val="FunctionTok"/>
        </w:rPr>
        <w:t xml:space="preserve">meta_description</w:t>
      </w:r>
      <w:r>
        <w:rPr>
          <w:rStyle w:val="KeywordTok"/>
        </w:rPr>
        <w:t xml:space="preserve">:</w:t>
      </w:r>
      <w:r>
        <w:rPr>
          <w:rStyle w:val="AttributeTok"/>
        </w:rPr>
        <w:t xml:space="preserve"> </w:t>
      </w:r>
      <w:r>
        <w:rPr>
          <w:rStyle w:val="StringTok"/>
        </w:rPr>
        <w:t xml:space="preserve">"Data warehouse menentukan keberhasilan AI: tanpa data yang siap AI, model gagal. Pelajari checklist data AI-ready, peran SAP Business Data Cloud &amp; Databricks."</w:t>
      </w:r>
      <w:r>
        <w:br/>
      </w:r>
      <w:r>
        <w:rPr>
          <w:rStyle w:val="FunctionTok"/>
        </w:rPr>
        <w:t xml:space="preserve">slug</w:t>
      </w:r>
      <w:r>
        <w:rPr>
          <w:rStyle w:val="KeywordTok"/>
        </w:rPr>
        <w:t xml:space="preserve">:</w:t>
      </w:r>
      <w:r>
        <w:rPr>
          <w:rStyle w:val="AttributeTok"/>
        </w:rPr>
        <w:t xml:space="preserve"> </w:t>
      </w:r>
      <w:r>
        <w:rPr>
          <w:rStyle w:val="StringTok"/>
        </w:rPr>
        <w:t xml:space="preserve">"data-warehouse-fondasi-ai"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"data warehouse untuk AI"</w:t>
      </w:r>
      <w:r>
        <w:br/>
      </w:r>
      <w:r>
        <w:rPr>
          <w:rStyle w:val="AttributeTok"/>
        </w:rPr>
        <w:t xml:space="preserve">  </w:t>
      </w:r>
      <w:r>
        <w:rPr>
          <w:rStyle w:val="KeywordTok"/>
        </w:rPr>
        <w:t xml:space="preserve">-</w:t>
      </w:r>
      <w:r>
        <w:rPr>
          <w:rStyle w:val="AttributeTok"/>
        </w:rPr>
        <w:t xml:space="preserve"> </w:t>
      </w:r>
      <w:r>
        <w:rPr>
          <w:rStyle w:val="StringTok"/>
        </w:rPr>
        <w:t xml:space="preserve">"data siap AI"</w:t>
      </w:r>
      <w:r>
        <w:br/>
      </w:r>
      <w:r>
        <w:rPr>
          <w:rStyle w:val="AttributeTok"/>
        </w:rPr>
        <w:t xml:space="preserve">  </w:t>
      </w:r>
      <w:r>
        <w:rPr>
          <w:rStyle w:val="KeywordTok"/>
        </w:rPr>
        <w:t xml:space="preserve">-</w:t>
      </w:r>
      <w:r>
        <w:rPr>
          <w:rStyle w:val="AttributeTok"/>
        </w:rPr>
        <w:t xml:space="preserve"> </w:t>
      </w:r>
      <w:r>
        <w:rPr>
          <w:rStyle w:val="StringTok"/>
        </w:rPr>
        <w:t xml:space="preserve">"AI-ready data"</w:t>
      </w:r>
      <w:r>
        <w:br/>
      </w:r>
      <w:r>
        <w:rPr>
          <w:rStyle w:val="AttributeTok"/>
        </w:rPr>
        <w:t xml:space="preserve">  </w:t>
      </w:r>
      <w:r>
        <w:rPr>
          <w:rStyle w:val="KeywordTok"/>
        </w:rPr>
        <w:t xml:space="preserve">-</w:t>
      </w:r>
      <w:r>
        <w:rPr>
          <w:rStyle w:val="AttributeTok"/>
        </w:rPr>
        <w:t xml:space="preserve"> </w:t>
      </w:r>
      <w:r>
        <w:rPr>
          <w:rStyle w:val="StringTok"/>
        </w:rPr>
        <w:t xml:space="preserve">"SAP Business Data Cloud"</w:t>
      </w:r>
      <w:r>
        <w:br/>
      </w:r>
      <w:r>
        <w:rPr>
          <w:rStyle w:val="AttributeTok"/>
        </w:rPr>
        <w:t xml:space="preserve">  </w:t>
      </w:r>
      <w:r>
        <w:rPr>
          <w:rStyle w:val="KeywordTok"/>
        </w:rPr>
        <w:t xml:space="preserve">-</w:t>
      </w:r>
      <w:r>
        <w:rPr>
          <w:rStyle w:val="AttributeTok"/>
        </w:rPr>
        <w:t xml:space="preserve"> </w:t>
      </w:r>
      <w:r>
        <w:rPr>
          <w:rStyle w:val="StringTok"/>
        </w:rPr>
        <w:t xml:space="preserve">"SAP Databricks"</w:t>
      </w:r>
      <w:r>
        <w:br/>
      </w:r>
      <w:r>
        <w:rPr>
          <w:rStyle w:val="AttributeTok"/>
        </w:rPr>
        <w:t xml:space="preserve">  </w:t>
      </w:r>
      <w:r>
        <w:rPr>
          <w:rStyle w:val="KeywordTok"/>
        </w:rPr>
        <w:t xml:space="preserve">-</w:t>
      </w:r>
      <w:r>
        <w:rPr>
          <w:rStyle w:val="AttributeTok"/>
        </w:rPr>
        <w:t xml:space="preserve"> </w:t>
      </w:r>
      <w:r>
        <w:rPr>
          <w:rStyle w:val="StringTok"/>
        </w:rPr>
        <w:t xml:space="preserve">"Delta Sharing"</w:t>
      </w:r>
      <w:r>
        <w:br/>
      </w:r>
      <w:r>
        <w:rPr>
          <w:rStyle w:val="AttributeTok"/>
        </w:rPr>
        <w:t xml:space="preserve">  </w:t>
      </w:r>
      <w:r>
        <w:rPr>
          <w:rStyle w:val="KeywordTok"/>
        </w:rPr>
        <w:t xml:space="preserve">-</w:t>
      </w:r>
      <w:r>
        <w:rPr>
          <w:rStyle w:val="AttributeTok"/>
        </w:rPr>
        <w:t xml:space="preserve"> </w:t>
      </w:r>
      <w:r>
        <w:rPr>
          <w:rStyle w:val="StringTok"/>
        </w:rPr>
        <w:t xml:space="preserve">"zero-copy"</w:t>
      </w:r>
      <w:r>
        <w:br/>
      </w:r>
      <w:r>
        <w:rPr>
          <w:rStyle w:val="AttributeTok"/>
        </w:rPr>
        <w:t xml:space="preserve">  </w:t>
      </w:r>
      <w:r>
        <w:rPr>
          <w:rStyle w:val="KeywordTok"/>
        </w:rPr>
        <w:t xml:space="preserve">-</w:t>
      </w:r>
      <w:r>
        <w:rPr>
          <w:rStyle w:val="AttributeTok"/>
        </w:rPr>
        <w:t xml:space="preserve"> </w:t>
      </w:r>
      <w:r>
        <w:rPr>
          <w:rStyle w:val="StringTok"/>
        </w:rPr>
        <w:t xml:space="preserve">"data governance"</w:t>
      </w:r>
      <w:r>
        <w:br/>
      </w:r>
      <w:r>
        <w:rPr>
          <w:rStyle w:val="AttributeTok"/>
        </w:rPr>
        <w:t xml:space="preserve">  </w:t>
      </w:r>
      <w:r>
        <w:rPr>
          <w:rStyle w:val="KeywordTok"/>
        </w:rPr>
        <w:t xml:space="preserve">-</w:t>
      </w:r>
      <w:r>
        <w:rPr>
          <w:rStyle w:val="AttributeTok"/>
        </w:rPr>
        <w:t xml:space="preserve"> </w:t>
      </w:r>
      <w:r>
        <w:rPr>
          <w:rStyle w:val="StringTok"/>
        </w:rPr>
        <w:t xml:space="preserve">"semantic layer"</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"medallion architecture"</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"https://www.gartner.com/en/newsroom/press-releases/2025-02-26-lack-of-ai-ready-data-puts-ai-projects-at-risk"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"63% organisasi tidak punya/ragu praktik data management untuk AI; 60% proyek AI tanpa data AI-ready akan dibatalkan pada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"https://news.sap.com/2025/02/sap-databricks-open-bold-new-era-data-ai/"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Databricks sebagai first-party service; Delta Sharing untuk zero-copy; SAP Business Data Cloud sebagai platform pemersatu"</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r>
        <w:br/>
      </w:r>
      <w:r>
        <w:rPr>
          <w:rStyle w:val="FunctionTok"/>
        </w:rPr>
        <w:t xml:space="preserve">word_count</w:t>
      </w:r>
      <w:r>
        <w:rPr>
          <w:rStyle w:val="KeywordTok"/>
        </w:rPr>
        <w:t xml:space="preserve">:</w:t>
      </w:r>
      <w:r>
        <w:rPr>
          <w:rStyle w:val="AttributeTok"/>
        </w:rPr>
        <w:t xml:space="preserve"> </w:t>
      </w:r>
      <w:r>
        <w:rPr>
          <w:rStyle w:val="DecValTok"/>
        </w:rPr>
        <w:t xml:space="preserve">1667</w:t>
      </w:r>
    </w:p>
    <w:p>
      <w:r>
        <w:pict>
          <v:rect style="width:0;height:1.5pt" o:hralign="center" o:hrstd="t" o:hr="t"/>
        </w:pict>
      </w:r>
    </w:p>
    <w:bookmarkEnd w:id="16"/>
    <w:bookmarkStart w:id="33" w:name="Xe080fcbc2b6d94ba52a15e69832b951933de730"/>
    <w:p>
      <w:pPr>
        <w:pStyle w:val="Heading1"/>
      </w:pPr>
      <w:r>
        <w:t xml:space="preserve">Data Warehouse sebagai Fondasi AI: Model Anda Hanya Sebaik Datanya</w:t>
      </w:r>
    </w:p>
    <w:p>
      <w:pPr>
        <w:pStyle w:val="FirstParagraph"/>
      </w:pPr>
      <w:r>
        <w:t xml:space="preserve">Hampir setiap rapat direksi tahun ini punya satu agenda yang sama:</w:t>
      </w:r>
      <w:r>
        <w:t xml:space="preserve"> </w:t>
      </w:r>
      <w:r>
        <w:t xml:space="preserve">“kita harus mulai pakai AI.”</w:t>
      </w:r>
      <w:r>
        <w:t xml:space="preserve"> </w:t>
      </w:r>
      <w:r>
        <w:t xml:space="preserve">Yang jarang ditanyakan di rapat yang sama: apakah data perusahaan cukup rapi untuk dipercaya sebuah model? Di lapangan, proyek AI yang gagal jarang gagal karena modelnya lemah. Ia gagal karena datanya berantakan, tersebar di banyak sistem, dan tidak ber-konteks. Sebelum bicara model, ada lapisan yang menentukan: sebuah</w:t>
      </w:r>
      <w:r>
        <w:t xml:space="preserve"> </w:t>
      </w:r>
      <w:hyperlink r:id="rId17">
        <w:r>
          <w:rPr>
            <w:rStyle w:val="Hyperlink"/>
          </w:rPr>
          <w:t xml:space="preserve">data warehouse</w:t>
        </w:r>
      </w:hyperlink>
      <w:r>
        <w:t xml:space="preserve"> </w:t>
      </w:r>
      <w:r>
        <w:t xml:space="preserve">yang tertata. Artikel ini membalik urutan percakapan, bukan</w:t>
      </w:r>
      <w:r>
        <w:t xml:space="preserve"> </w:t>
      </w:r>
      <w:r>
        <w:t xml:space="preserve">“AI mana yang dibeli”</w:t>
      </w:r>
      <w:r>
        <w:t xml:space="preserve">, melainkan</w:t>
      </w:r>
      <w:r>
        <w:t xml:space="preserve"> </w:t>
      </w:r>
      <w:r>
        <w:t xml:space="preserve">“apakah fondasi data Anda sudah siap menopangnya”</w:t>
      </w:r>
      <w:r>
        <w:t xml:space="preserve">.</w:t>
      </w:r>
    </w:p>
    <w:p>
      <w:pPr>
        <w:pStyle w:val="BlockText"/>
      </w:pPr>
      <w:r>
        <w:rPr>
          <w:b/>
          <w:bCs/>
        </w:rPr>
        <w:t xml:space="preserve">Secara singkat:</w:t>
      </w:r>
      <w:r>
        <w:t xml:space="preserve"> </w:t>
      </w:r>
      <w:r>
        <w:t xml:space="preserve">Data warehouse adalah fondasi yang menentukan keberhasilan AI, sebab model kecerdasan buatan hanya sebaik data yang dipakai untuk melatih dan meng-query-nya. Data yang tersebar, tidak konsisten, atau tanpa konteks bisnis menghasilkan prediksi yang tak dapat dipercaya. Mengabaikan fondasi data inilah alasan paling umum proyek AI perusahaan gagal sebelum menghasilkan nilai.</w:t>
      </w:r>
    </w:p>
    <w:p>
      <w:pPr>
        <w:pStyle w:val="FirstParagraph"/>
      </w:pPr>
      <w:r>
        <w:t xml:space="preserve">Melalui artikel ini, kita akan menelusuri mengapa AI bergantung pada fondasi data, apa sebenarnya arti</w:t>
      </w:r>
      <w:r>
        <w:t xml:space="preserve"> </w:t>
      </w:r>
      <w:r>
        <w:t xml:space="preserve">“data siap AI”</w:t>
      </w:r>
      <w:r>
        <w:t xml:space="preserve">, bagaimana data warehouse modern menyiapkannya, peran SAP Business Data Cloud dengan Databricks, dan kapan sebaiknya Anda menahan diri membeli AI sampai fondasinya beres.</w:t>
      </w:r>
    </w:p>
    <w:p>
      <w:pPr>
        <w:pStyle w:val="BodyText"/>
      </w:pPr>
      <w:r>
        <w:rPr>
          <w:i/>
          <w:iCs/>
        </w:rPr>
        <w:t xml:space="preserve">[Image 01: Diagram konsep</w:t>
      </w:r>
      <w:r>
        <w:rPr>
          <w:i/>
          <w:iCs/>
        </w:rPr>
        <w:t xml:space="preserve"> </w:t>
      </w:r>
      <w:r>
        <w:rPr>
          <w:i/>
          <w:iCs/>
        </w:rPr>
        <w:t xml:space="preserve">“model hanya sebaik datanya”</w:t>
      </w:r>
      <w:r>
        <w:rPr>
          <w:i/>
          <w:iCs/>
        </w:rPr>
        <w:t xml:space="preserve"> </w:t>
      </w:r>
      <w:r>
        <w:rPr>
          <w:i/>
          <w:iCs/>
        </w:rPr>
        <w:t xml:space="preserve">— di bawah ada lapisan fondasi bertumpuk (sumber tersebar → data warehouse tertata → konteks bisnis), di atasnya ikon otak AI; sisi kiri menunjukkan tumpukan retak dengan otak goyah, sisi kanan tumpukan rapi dengan otak stabil. Gaya korporat biru-putih, teks Bahasa Indonesia:</w:t>
      </w:r>
      <w:r>
        <w:rPr>
          <w:i/>
          <w:iCs/>
        </w:rPr>
        <w:t xml:space="preserve"> </w:t>
      </w:r>
      <w:r>
        <w:rPr>
          <w:i/>
          <w:iCs/>
        </w:rPr>
        <w:t xml:space="preserve">“Fondasi Data”</w:t>
      </w:r>
      <w:r>
        <w:rPr>
          <w:i/>
          <w:iCs/>
        </w:rPr>
        <w:t xml:space="preserve"> </w:t>
      </w:r>
      <w:r>
        <w:rPr>
          <w:i/>
          <w:iCs/>
        </w:rPr>
        <w:t xml:space="preserve">dan</w:t>
      </w:r>
      <w:r>
        <w:rPr>
          <w:i/>
          <w:iCs/>
        </w:rPr>
        <w:t xml:space="preserve"> </w:t>
      </w:r>
      <w:r>
        <w:rPr>
          <w:i/>
          <w:iCs/>
        </w:rPr>
        <w:t xml:space="preserve">“Output AI”</w:t>
      </w:r>
      <w:r>
        <w:rPr>
          <w:i/>
          <w:iCs/>
        </w:rPr>
        <w:t xml:space="preserve">]</w:t>
      </w:r>
    </w:p>
    <w:bookmarkStart w:id="18" w:name="Xb1474f9959c1d336056aabefc9829cdffc6e8ed"/>
    <w:p>
      <w:pPr>
        <w:pStyle w:val="Heading2"/>
      </w:pPr>
      <w:r>
        <w:t xml:space="preserve">Mengapa AI Hanya Sebaik Data Warehouse di Belakangnya?</w:t>
      </w:r>
    </w:p>
    <w:p>
      <w:pPr>
        <w:pStyle w:val="FirstParagraph"/>
      </w:pPr>
      <w:r>
        <w:t xml:space="preserve">AI belajar dari data, sehingga kualitas, konsistensi, dan konteks data menentukan langsung kualitas keluarannya. Saat data tersebar di sistem yang tak terhubung dan tak ber-konteks bisnis, model menghasilkan prediksi yang tak dapat dipercaya. Gartner memprediksi hingga 2026 organisasi akan membatalkan 60% proyek AI yang tidak didukung data yang AI-ready.</w:t>
      </w:r>
    </w:p>
    <w:p>
      <w:pPr>
        <w:pStyle w:val="BodyText"/>
      </w:pPr>
      <w:r>
        <w:t xml:space="preserve">Angka itu bukan dramatisasi. Dalam riset Gartner (rilis Februari 2025, dari survei 248 pemimpin data management), 63% organisasi menyatakan tidak memiliki, atau tidak yakin memiliki, praktik</w:t>
      </w:r>
      <w:r>
        <w:t xml:space="preserve"> </w:t>
      </w:r>
      <w:r>
        <w:rPr>
          <w:i/>
          <w:iCs/>
        </w:rPr>
        <w:t xml:space="preserve">data management</w:t>
      </w:r>
      <w:r>
        <w:t xml:space="preserve"> </w:t>
      </w:r>
      <w:r>
        <w:t xml:space="preserve">yang tepat untuk AI. Artinya, mayoritas perusahaan memulai perlombaan AI tanpa tahu apakah bahan bakarnya layak.</w:t>
      </w:r>
    </w:p>
    <w:p>
      <w:pPr>
        <w:pStyle w:val="BodyText"/>
      </w:pPr>
      <w:r>
        <w:t xml:space="preserve">Akar masalahnya hampir selalu sama: data terisolasi. Cisco AI Readiness Index 2025, yang mensurvei lebih dari 8.000 pemimpin AI di 30 negara, menemukan hanya 19% perusahaan yang datanya benar-benar terpusat. Bandingkan dengan kelompok paling siap (</w:t>
      </w:r>
      <w:r>
        <w:rPr>
          <w:i/>
          <w:iCs/>
        </w:rPr>
        <w:t xml:space="preserve">Pacesetters</w:t>
      </w:r>
      <w:r>
        <w:t xml:space="preserve">): 76% di antaranya punya data terpusat, dan mereka empat kali lebih mungkin membawa proyek AI sampai ke produksi.</w:t>
      </w:r>
    </w:p>
    <w:p>
      <w:pPr>
        <w:pStyle w:val="BodyText"/>
      </w:pPr>
      <w:r>
        <w:t xml:space="preserve">Pola yang sama muncul ketika perusahaan mencoba men-</w:t>
      </w:r>
      <w:r>
        <w:rPr>
          <w:i/>
          <w:iCs/>
        </w:rPr>
        <w:t xml:space="preserve">scale</w:t>
      </w:r>
      <w:r>
        <w:t xml:space="preserve"> </w:t>
      </w:r>
      <w:r>
        <w:t xml:space="preserve">AI. Menurut McKinsey (</w:t>
      </w:r>
      <w:r>
        <w:rPr>
          <w:i/>
          <w:iCs/>
        </w:rPr>
        <w:t xml:space="preserve">The State of AI</w:t>
      </w:r>
      <w:r>
        <w:t xml:space="preserve">, November 2025), 8 dari 10 perusahaan menyebut keterbatasan data sebagai penghalang utama untuk men-</w:t>
      </w:r>
      <w:r>
        <w:rPr>
          <w:i/>
          <w:iCs/>
        </w:rPr>
        <w:t xml:space="preserve">scale</w:t>
      </w:r>
      <w:r>
        <w:t xml:space="preserve"> </w:t>
      </w:r>
      <w:r>
        <w:t xml:space="preserve">AI agentic, dan kurang dari 10% yang bereksperimen dengan</w:t>
      </w:r>
      <w:r>
        <w:t xml:space="preserve"> </w:t>
      </w:r>
      <w:r>
        <w:rPr>
          <w:i/>
          <w:iCs/>
        </w:rPr>
        <w:t xml:space="preserve">AI agents</w:t>
      </w:r>
      <w:r>
        <w:t xml:space="preserve"> </w:t>
      </w:r>
      <w:r>
        <w:t xml:space="preserve">berhasil men-</w:t>
      </w:r>
      <w:r>
        <w:rPr>
          <w:i/>
          <w:iCs/>
        </w:rPr>
        <w:t xml:space="preserve">scale</w:t>
      </w:r>
      <w:r>
        <w:t xml:space="preserve">-nya menjadi nilai nyata. Benang merahnya jelas: ketiga riset itu menunjuk ke fondasi data, bukan ke modelnya, sebagai pembeda antara proyek yang berhasil dan yang macet.</w:t>
      </w:r>
    </w:p>
    <w:bookmarkEnd w:id="18"/>
    <w:bookmarkStart w:id="19" w:name="X3aedfb3856250b2d11fa756416ff80b901a874a"/>
    <w:p>
      <w:pPr>
        <w:pStyle w:val="Heading2"/>
      </w:pPr>
      <w:r>
        <w:t xml:space="preserve">Apa Sebenarnya Arti</w:t>
      </w:r>
      <w:r>
        <w:t xml:space="preserve"> </w:t>
      </w:r>
      <w:r>
        <w:t xml:space="preserve">“Data Siap AI”</w:t>
      </w:r>
      <w:r>
        <w:t xml:space="preserve"> </w:t>
      </w:r>
      <w:r>
        <w:t xml:space="preserve">(AI-Ready Data)?</w:t>
      </w:r>
    </w:p>
    <w:p>
      <w:pPr>
        <w:pStyle w:val="FirstParagraph"/>
      </w:pPr>
      <w:r>
        <w:t xml:space="preserve">Data siap AI (</w:t>
      </w:r>
      <w:r>
        <w:rPr>
          <w:i/>
          <w:iCs/>
        </w:rPr>
        <w:t xml:space="preserve">AI-ready data</w:t>
      </w:r>
      <w:r>
        <w:t xml:space="preserve">) adalah data yang akurat, konsisten lintas sistem, tercatat asal-usulnya, dan dilengkapi konteks bisnis sehingga model memahami arti datanya, bukan sekadar angka mentah. Ini bukan soal volume; perusahaan bisa punya petabyte data dan tetap tidak punya satu pun yang benar-benar siap dipakai AI.</w:t>
      </w:r>
    </w:p>
    <w:p>
      <w:pPr>
        <w:pStyle w:val="BodyText"/>
      </w:pPr>
      <w:r>
        <w:t xml:space="preserve">Dalam praktiknya,</w:t>
      </w:r>
      <w:r>
        <w:t xml:space="preserve"> </w:t>
      </w:r>
      <w:r>
        <w:t xml:space="preserve">“siap AI”</w:t>
      </w:r>
      <w:r>
        <w:t xml:space="preserve"> </w:t>
      </w:r>
      <w:r>
        <w:t xml:space="preserve">bisa diuraikan menjadi lima dimensi yang konkret dan bisa Anda cek sendiri:</w:t>
      </w:r>
    </w:p>
    <w:p>
      <w:pPr>
        <w:pStyle w:val="Compact"/>
        <w:numPr>
          <w:ilvl w:val="0"/>
          <w:numId w:val="1001"/>
        </w:numPr>
      </w:pPr>
      <w:r>
        <w:rPr>
          <w:b/>
          <w:bCs/>
        </w:rPr>
        <w:t xml:space="preserve">Kualitas</w:t>
      </w:r>
      <w:r>
        <w:t xml:space="preserve">: data lengkap, tidak duplikat, akurasinya terverifikasi. Tanpa ini, model menghasilkan prediksi keliru dengan percaya diri.</w:t>
      </w:r>
    </w:p>
    <w:p>
      <w:pPr>
        <w:pStyle w:val="Compact"/>
        <w:numPr>
          <w:ilvl w:val="0"/>
          <w:numId w:val="1001"/>
        </w:numPr>
      </w:pPr>
      <w:r>
        <w:rPr>
          <w:b/>
          <w:bCs/>
        </w:rPr>
        <w:t xml:space="preserve">Konsistensi</w:t>
      </w:r>
      <w:r>
        <w:t xml:space="preserve">: angka</w:t>
      </w:r>
      <w:r>
        <w:t xml:space="preserve"> </w:t>
      </w:r>
      <w:r>
        <w:t xml:space="preserve">“pendapatan”</w:t>
      </w:r>
      <w:r>
        <w:t xml:space="preserve"> </w:t>
      </w:r>
      <w:r>
        <w:t xml:space="preserve">yang sama harus bernilai sama di sistem keuangan, gudang, dan CRM. Kalau berbeda, AI akan memberi jawaban yang berbeda tergantung dari mana ia membaca.</w:t>
      </w:r>
    </w:p>
    <w:p>
      <w:pPr>
        <w:pStyle w:val="Compact"/>
        <w:numPr>
          <w:ilvl w:val="0"/>
          <w:numId w:val="1001"/>
        </w:numPr>
      </w:pPr>
      <w:r>
        <w:rPr>
          <w:b/>
          <w:bCs/>
        </w:rPr>
        <w:t xml:space="preserve">Lineage &amp; governance</w:t>
      </w:r>
      <w:r>
        <w:t xml:space="preserve">: asal-usul data tercatat, akses dikontrol, dan ada jejak audit. Ini bukan hanya soal kepatuhan (mis. UU Pelindungan Data Pribadi), tetapi soal apakah keluaran model bisa dipertanggungjawabkan.</w:t>
      </w:r>
    </w:p>
    <w:p>
      <w:pPr>
        <w:pStyle w:val="Compact"/>
        <w:numPr>
          <w:ilvl w:val="0"/>
          <w:numId w:val="1001"/>
        </w:numPr>
      </w:pPr>
      <w:r>
        <w:rPr>
          <w:b/>
          <w:bCs/>
        </w:rPr>
        <w:t xml:space="preserve">Konteks semantik</w:t>
      </w:r>
      <w:r>
        <w:t xml:space="preserve">: definisi bisnis melekat pada data. Apakah</w:t>
      </w:r>
      <w:r>
        <w:t xml:space="preserve"> </w:t>
      </w:r>
      <w:r>
        <w:t xml:space="preserve">“pendapatan”</w:t>
      </w:r>
      <w:r>
        <w:t xml:space="preserve"> </w:t>
      </w:r>
      <w:r>
        <w:t xml:space="preserve">itu</w:t>
      </w:r>
      <w:r>
        <w:t xml:space="preserve"> </w:t>
      </w:r>
      <w:r>
        <w:rPr>
          <w:i/>
          <w:iCs/>
        </w:rPr>
        <w:t xml:space="preserve">gross</w:t>
      </w:r>
      <w:r>
        <w:t xml:space="preserve"> </w:t>
      </w:r>
      <w:r>
        <w:t xml:space="preserve">atau</w:t>
      </w:r>
      <w:r>
        <w:t xml:space="preserve"> </w:t>
      </w:r>
      <w:r>
        <w:rPr>
          <w:i/>
          <w:iCs/>
        </w:rPr>
        <w:t xml:space="preserve">net</w:t>
      </w:r>
      <w:r>
        <w:t xml:space="preserve">? Tanpa konteks, model hanya melihat kolom angka.</w:t>
      </w:r>
    </w:p>
    <w:p>
      <w:pPr>
        <w:pStyle w:val="Compact"/>
        <w:numPr>
          <w:ilvl w:val="0"/>
          <w:numId w:val="1001"/>
        </w:numPr>
      </w:pPr>
      <w:r>
        <w:rPr>
          <w:b/>
          <w:bCs/>
        </w:rPr>
        <w:t xml:space="preserve">Aksesibilitas</w:t>
      </w:r>
      <w:r>
        <w:t xml:space="preserve">: tim data dan AI bisa mengaksesnya tanpa antre berminggu-minggu di tiket IT.</w:t>
      </w:r>
    </w:p>
    <w:p>
      <w:pPr>
        <w:pStyle w:val="FirstParagraph"/>
      </w:pPr>
      <w:r>
        <w:t xml:space="preserve">Yang membedakan daftar ini dari checklist generik: kelimanya bisa gagal secara terpisah. Anda bisa punya data yang bersih namun tanpa konteks semantik, atau data yang ber-</w:t>
      </w:r>
      <w:r>
        <w:rPr>
          <w:i/>
          <w:iCs/>
        </w:rPr>
        <w:t xml:space="preserve">governance</w:t>
      </w:r>
      <w:r>
        <w:t xml:space="preserve"> </w:t>
      </w:r>
      <w:r>
        <w:t xml:space="preserve">ketat tapi tak konsisten antar divisi. AI-readiness adalah skor gabungan, bukan tombol on/off.</w:t>
      </w:r>
    </w:p>
    <w:p>
      <w:pPr>
        <w:pStyle w:val="BodyText"/>
      </w:pPr>
      <w:r>
        <w:rPr>
          <w:i/>
          <w:iCs/>
        </w:rPr>
        <w:t xml:space="preserve">[Image 02: Scorecard</w:t>
      </w:r>
      <w:r>
        <w:rPr>
          <w:i/>
          <w:iCs/>
        </w:rPr>
        <w:t xml:space="preserve"> </w:t>
      </w:r>
      <w:r>
        <w:rPr>
          <w:i/>
          <w:iCs/>
        </w:rPr>
        <w:t xml:space="preserve">“Data Siap AI”</w:t>
      </w:r>
      <w:r>
        <w:rPr>
          <w:i/>
          <w:iCs/>
        </w:rPr>
        <w:t xml:space="preserve"> </w:t>
      </w:r>
      <w:r>
        <w:rPr>
          <w:i/>
          <w:iCs/>
        </w:rPr>
        <w:t xml:space="preserve">— lima kartu vertikal (Kualitas, Konsistensi, Lineage &amp; Governance, Konteks Semantik, Aksesibilitas), tiap kartu dengan ikon, indikator hijau/merah, dan satu kalimat risiko jika absen. Format mudah di-screenshot, warna korporat biru-hijau, teks Bahasa Indonesia]</w:t>
      </w:r>
    </w:p>
    <w:bookmarkEnd w:id="19"/>
    <w:bookmarkStart w:id="21" w:name="Xd87d2d4b57891ff1b5f7335e90bbed833314969"/>
    <w:p>
      <w:pPr>
        <w:pStyle w:val="Heading2"/>
      </w:pPr>
      <w:r>
        <w:t xml:space="preserve">Peran Data Warehouse Modern: dari Single Source of Truth ke Konteks untuk AI</w:t>
      </w:r>
    </w:p>
    <w:p>
      <w:pPr>
        <w:pStyle w:val="FirstParagraph"/>
      </w:pPr>
      <w:r>
        <w:t xml:space="preserve">Data warehouse modern menyatukan data tersebar menjadi</w:t>
      </w:r>
      <w:r>
        <w:t xml:space="preserve"> </w:t>
      </w:r>
      <w:r>
        <w:rPr>
          <w:i/>
          <w:iCs/>
        </w:rPr>
        <w:t xml:space="preserve">single source of truth</w:t>
      </w:r>
      <w:r>
        <w:t xml:space="preserve"> </w:t>
      </w:r>
      <w:r>
        <w:t xml:space="preserve">(satu sumber data tepercaya), lalu menambahkan lapisan semantik agar AI dan analitik memahami makna bisnis di balik angka. Dua hal itulah, konsolidasi dan konteks, yang mengubah tumpukan data mentah menjadi fondasi yang layak dipakai model.</w:t>
      </w:r>
    </w:p>
    <w:p>
      <w:pPr>
        <w:pStyle w:val="BodyText"/>
      </w:pPr>
      <w:r>
        <w:t xml:space="preserve">Cara kerjanya paling mudah dijelaskan lewat</w:t>
      </w:r>
      <w:r>
        <w:t xml:space="preserve"> </w:t>
      </w:r>
      <w:r>
        <w:rPr>
          <w:i/>
          <w:iCs/>
        </w:rPr>
        <w:t xml:space="preserve">medallion architecture</w:t>
      </w:r>
      <w:r>
        <w:t xml:space="preserve">, pola desain data standar industri yang dipopulerkan Databricks dan kini bersifat vendor-netral. Data mengalir bertahap melalui tiga lapisan, makin matang di tiap tahap: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Lapisan</w:t>
            </w:r>
          </w:p>
        </w:tc>
        <w:tc>
          <w:tcPr/>
          <w:p>
            <w:pPr>
              <w:pStyle w:val="Compact"/>
            </w:pPr>
            <w:r>
              <w:t xml:space="preserve">Nama</w:t>
            </w:r>
          </w:p>
        </w:tc>
        <w:tc>
          <w:tcPr/>
          <w:p>
            <w:pPr>
              <w:pStyle w:val="Compact"/>
            </w:pPr>
            <w:r>
              <w:t xml:space="preserve">Isi</w:t>
            </w:r>
          </w:p>
        </w:tc>
        <w:tc>
          <w:tcPr/>
          <w:p>
            <w:pPr>
              <w:pStyle w:val="Compact"/>
            </w:pPr>
            <w:r>
              <w:t xml:space="preserve">Kegunaan untuk AI/ML</w:t>
            </w:r>
          </w:p>
        </w:tc>
      </w:tr>
      <w:tr>
        <w:tc>
          <w:tcPr/>
          <w:p>
            <w:pPr>
              <w:pStyle w:val="Compact"/>
            </w:pPr>
            <w:r>
              <w:t xml:space="preserve">L1</w:t>
            </w:r>
          </w:p>
        </w:tc>
        <w:tc>
          <w:tcPr/>
          <w:p>
            <w:pPr>
              <w:pStyle w:val="Compact"/>
            </w:pPr>
            <w:r>
              <w:rPr>
                <w:i/>
                <w:iCs/>
              </w:rPr>
              <w:t xml:space="preserve">Bronze</w:t>
            </w:r>
          </w:p>
        </w:tc>
        <w:tc>
          <w:tcPr/>
          <w:p>
            <w:pPr>
              <w:pStyle w:val="Compact"/>
            </w:pPr>
            <w:r>
              <w:t xml:space="preserve">Data mentah apa adanya dari sumber (ERP, IoT, CRM)</w:t>
            </w:r>
          </w:p>
        </w:tc>
        <w:tc>
          <w:tcPr/>
          <w:p>
            <w:pPr>
              <w:pStyle w:val="Compact"/>
            </w:pPr>
            <w:r>
              <w:rPr>
                <w:i/>
                <w:iCs/>
              </w:rPr>
              <w:t xml:space="preserve">Training data</w:t>
            </w:r>
            <w:r>
              <w:t xml:space="preserve"> </w:t>
            </w:r>
            <w:r>
              <w:t xml:space="preserve">mentah; jejak audit</w:t>
            </w:r>
          </w:p>
        </w:tc>
      </w:tr>
      <w:tr>
        <w:tc>
          <w:tcPr/>
          <w:p>
            <w:pPr>
              <w:pStyle w:val="Compact"/>
            </w:pPr>
            <w:r>
              <w:t xml:space="preserve">L2</w:t>
            </w:r>
          </w:p>
        </w:tc>
        <w:tc>
          <w:tcPr/>
          <w:p>
            <w:pPr>
              <w:pStyle w:val="Compact"/>
            </w:pPr>
            <w:r>
              <w:rPr>
                <w:i/>
                <w:iCs/>
              </w:rPr>
              <w:t xml:space="preserve">Silver</w:t>
            </w:r>
          </w:p>
        </w:tc>
        <w:tc>
          <w:tcPr/>
          <w:p>
            <w:pPr>
              <w:pStyle w:val="Compact"/>
            </w:pPr>
            <w:r>
              <w:t xml:space="preserve">Data tervalidasi, di-</w:t>
            </w:r>
            <w:r>
              <w:rPr>
                <w:i/>
                <w:iCs/>
              </w:rPr>
              <w:t xml:space="preserve">merge</w:t>
            </w:r>
            <w:r>
              <w:t xml:space="preserve">, dibersihkan (</w:t>
            </w:r>
            <w:r>
              <w:t xml:space="preserve">“enterprise view”</w:t>
            </w:r>
            <w:r>
              <w:t xml:space="preserve">)</w:t>
            </w:r>
          </w:p>
        </w:tc>
        <w:tc>
          <w:tcPr/>
          <w:p>
            <w:pPr>
              <w:pStyle w:val="Compact"/>
            </w:pPr>
            <w:r>
              <w:rPr>
                <w:i/>
                <w:iCs/>
              </w:rPr>
              <w:t xml:space="preserve">Self-service analytics</w:t>
            </w:r>
            <w:r>
              <w:t xml:space="preserve">;</w:t>
            </w:r>
            <w:r>
              <w:t xml:space="preserve"> </w:t>
            </w:r>
            <w:r>
              <w:rPr>
                <w:i/>
                <w:iCs/>
              </w:rPr>
              <w:t xml:space="preserve">feature engineering</w:t>
            </w:r>
            <w:r>
              <w:t xml:space="preserve">; pelatihan ML</w:t>
            </w:r>
          </w:p>
        </w:tc>
      </w:tr>
      <w:tr>
        <w:tc>
          <w:tcPr/>
          <w:p>
            <w:pPr>
              <w:pStyle w:val="Compact"/>
            </w:pPr>
            <w:r>
              <w:t xml:space="preserve">L3</w:t>
            </w:r>
          </w:p>
        </w:tc>
        <w:tc>
          <w:tcPr/>
          <w:p>
            <w:pPr>
              <w:pStyle w:val="Compact"/>
            </w:pPr>
            <w:r>
              <w:rPr>
                <w:i/>
                <w:iCs/>
              </w:rPr>
              <w:t xml:space="preserve">Gold</w:t>
            </w:r>
          </w:p>
        </w:tc>
        <w:tc>
          <w:tcPr/>
          <w:p>
            <w:pPr>
              <w:pStyle w:val="Compact"/>
            </w:pPr>
            <w:r>
              <w:t xml:space="preserve">Agregat dan fitur tingkat bisnis yang dikurasi</w:t>
            </w:r>
          </w:p>
        </w:tc>
        <w:tc>
          <w:tcPr/>
          <w:p>
            <w:pPr>
              <w:pStyle w:val="Compact"/>
            </w:pPr>
            <w:r>
              <w:t xml:space="preserve">Model AI siap produksi; dasbor BI</w:t>
            </w:r>
          </w:p>
        </w:tc>
      </w:tr>
    </w:tbl>
    <w:p>
      <w:pPr>
        <w:pStyle w:val="BodyText"/>
      </w:pPr>
      <w:r>
        <w:t xml:space="preserve">Yang menarik: pola ini melayani dua konsumen sekaligus. Lapisan</w:t>
      </w:r>
      <w:r>
        <w:t xml:space="preserve"> </w:t>
      </w:r>
      <w:r>
        <w:rPr>
          <w:i/>
          <w:iCs/>
        </w:rPr>
        <w:t xml:space="preserve">Silver</w:t>
      </w:r>
      <w:r>
        <w:t xml:space="preserve"> </w:t>
      </w:r>
      <w:r>
        <w:t xml:space="preserve">dan</w:t>
      </w:r>
      <w:r>
        <w:t xml:space="preserve"> </w:t>
      </w:r>
      <w:r>
        <w:rPr>
          <w:i/>
          <w:iCs/>
        </w:rPr>
        <w:t xml:space="preserve">Gold</w:t>
      </w:r>
      <w:r>
        <w:t xml:space="preserve"> </w:t>
      </w:r>
      <w:r>
        <w:t xml:space="preserve">yang sama menyuapi tim</w:t>
      </w:r>
      <w:r>
        <w:t xml:space="preserve"> </w:t>
      </w:r>
      <w:r>
        <w:rPr>
          <w:i/>
          <w:iCs/>
        </w:rPr>
        <w:t xml:space="preserve">machine learning</w:t>
      </w:r>
      <w:r>
        <w:t xml:space="preserve"> </w:t>
      </w:r>
      <w:r>
        <w:t xml:space="preserve">sekaligus dasbor</w:t>
      </w:r>
      <w:r>
        <w:t xml:space="preserve"> </w:t>
      </w:r>
      <w:hyperlink r:id="rId20">
        <w:r>
          <w:rPr>
            <w:rStyle w:val="Hyperlink"/>
          </w:rPr>
          <w:t xml:space="preserve">Business Intelligence</w:t>
        </w:r>
      </w:hyperlink>
      <w:r>
        <w:t xml:space="preserve">. Inilah alasan investasi pada warehouse berbunga ganda. Fondasi yang sama menopang pelaporan manajemen hari ini dan model AI tahun depan.</w:t>
      </w:r>
    </w:p>
    <w:p>
      <w:pPr>
        <w:pStyle w:val="BodyText"/>
      </w:pPr>
      <w:r>
        <w:t xml:space="preserve">Konsolidasi saja belum cukup; data perlu konteks. Di ekosistem SAP, peran lapisan konteks ini dipegang</w:t>
      </w:r>
      <w:r>
        <w:t xml:space="preserve"> </w:t>
      </w:r>
      <w:r>
        <w:rPr>
          <w:b/>
          <w:bCs/>
        </w:rPr>
        <w:t xml:space="preserve">SAP Datasphere</w:t>
      </w:r>
      <w:r>
        <w:t xml:space="preserve">, yang merupakan komponen inti SAP Business Data Cloud sekaligus dapat berdiri mandiri. Datasphere (sebelumnya bernama SAP Data Warehouse Cloud, diganti nama 8 Maret 2023) menyatukan</w:t>
      </w:r>
      <w:r>
        <w:t xml:space="preserve"> </w:t>
      </w:r>
      <w:r>
        <w:rPr>
          <w:i/>
          <w:iCs/>
        </w:rPr>
        <w:t xml:space="preserve">data integration</w:t>
      </w:r>
      <w:r>
        <w:t xml:space="preserve">, pemodelan semantik,</w:t>
      </w:r>
      <w:r>
        <w:t xml:space="preserve"> </w:t>
      </w:r>
      <w:r>
        <w:rPr>
          <w:i/>
          <w:iCs/>
        </w:rPr>
        <w:t xml:space="preserve">data federation</w:t>
      </w:r>
      <w:r>
        <w:t xml:space="preserve">, dan manajemen</w:t>
      </w:r>
      <w:r>
        <w:t xml:space="preserve"> </w:t>
      </w:r>
      <w:r>
        <w:rPr>
          <w:i/>
          <w:iCs/>
        </w:rPr>
        <w:t xml:space="preserve">data product</w:t>
      </w:r>
      <w:r>
        <w:t xml:space="preserve"> </w:t>
      </w:r>
      <w:r>
        <w:t xml:space="preserve">dalam satu lapisan, sehingga makna bisnis tidak hilang saat data berpindah dari sumber ke model.</w:t>
      </w:r>
    </w:p>
    <w:bookmarkEnd w:id="21"/>
    <w:bookmarkStart w:id="23" w:name="X996b0517be2a5761d78dd83073a7d33cfb7dc39"/>
    <w:p>
      <w:pPr>
        <w:pStyle w:val="Heading2"/>
      </w:pPr>
      <w:r>
        <w:t xml:space="preserve">SAP Business Data Cloud dan Databricks: Fondasi Data untuk AI Tanpa Salin Data</w:t>
      </w:r>
    </w:p>
    <w:p>
      <w:pPr>
        <w:pStyle w:val="FirstParagraph"/>
      </w:pPr>
      <w:r>
        <w:t xml:space="preserve">SAP Business Data Cloud (BDC) adalah platform SaaS terkelola penuh yang menyatukan data SAP dan non-SAP sebagai fondasi tepercaya untuk AI. SAP Databricks, yakni versi</w:t>
      </w:r>
      <w:r>
        <w:t xml:space="preserve"> </w:t>
      </w:r>
      <w:r>
        <w:rPr>
          <w:i/>
          <w:iCs/>
        </w:rPr>
        <w:t xml:space="preserve">lakehouse</w:t>
      </w:r>
      <w:r>
        <w:t xml:space="preserve"> </w:t>
      </w:r>
      <w:r>
        <w:t xml:space="preserve">Databricks yang dikelola sepenuhnya oleh SAP, menjadi komponen native-nya untuk pengembangan model AI/ML. Keduanya sudah tersedia secara umum (</w:t>
      </w:r>
      <w:r>
        <w:rPr>
          <w:i/>
          <w:iCs/>
        </w:rPr>
        <w:t xml:space="preserve">generally available</w:t>
      </w:r>
      <w:r>
        <w:t xml:space="preserve">) sejak April 2025.</w:t>
      </w:r>
    </w:p>
    <w:p>
      <w:pPr>
        <w:pStyle w:val="BodyText"/>
      </w:pPr>
      <w:r>
        <w:t xml:space="preserve">Ada satu kesalahpahaman tentang status produk ini yang perlu diluruskan. BDC dan SAP Databricks bukan rencana masa depan; keduanya sudah GA, dengan SAP Databricks GA di AWS. Yang dijadwalkan GA pada paruh kedua 2026 adalah sebagian kapabilitas BDC yang lebih baru, seperti integrasi SAP HANA Cloud sebagai komponen inti dan integrasi</w:t>
      </w:r>
      <w:r>
        <w:t xml:space="preserve"> </w:t>
      </w:r>
      <w:r>
        <w:rPr>
          <w:i/>
          <w:iCs/>
        </w:rPr>
        <w:t xml:space="preserve">master data</w:t>
      </w:r>
      <w:r>
        <w:t xml:space="preserve"> </w:t>
      </w:r>
      <w:r>
        <w:t xml:space="preserve">Reltio. Jadi fondasinya sudah bisa dipakai hari ini; ekosistemnya yang terus melebar.</w:t>
      </w:r>
    </w:p>
    <w:p>
      <w:pPr>
        <w:pStyle w:val="BodyText"/>
      </w:pPr>
      <w:r>
        <w:t xml:space="preserve">BDC menghimpun enam komponen di bawah satu payung: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Fungsi utama</w:t>
            </w:r>
          </w:p>
        </w:tc>
        <w:tc>
          <w:tcPr/>
          <w:p>
            <w:pPr>
              <w:pStyle w:val="Compact"/>
            </w:pPr>
            <w:r>
              <w:t xml:space="preserve">Relevansi untuk AI</w:t>
            </w:r>
          </w:p>
        </w:tc>
      </w:tr>
      <w:tr>
        <w:tc>
          <w:tcPr/>
          <w:p>
            <w:pPr>
              <w:pStyle w:val="Compact"/>
            </w:pPr>
            <w:r>
              <w:t xml:space="preserve">SAP Datasphere</w:t>
            </w:r>
          </w:p>
        </w:tc>
        <w:tc>
          <w:tcPr/>
          <w:p>
            <w:pPr>
              <w:pStyle w:val="Compact"/>
            </w:pPr>
            <w:r>
              <w:rPr>
                <w:i/>
                <w:iCs/>
              </w:rPr>
              <w:t xml:space="preserve">Semantic layer</w:t>
            </w:r>
            <w:r>
              <w:t xml:space="preserve">, integrasi &amp; manajemen</w:t>
            </w:r>
            <w:r>
              <w:t xml:space="preserve"> </w:t>
            </w:r>
            <w:r>
              <w:rPr>
                <w:i/>
                <w:iCs/>
              </w:rPr>
              <w:t xml:space="preserve">data product</w:t>
            </w:r>
          </w:p>
        </w:tc>
        <w:tc>
          <w:tcPr/>
          <w:p>
            <w:pPr>
              <w:pStyle w:val="Compact"/>
            </w:pPr>
            <w:r>
              <w:t xml:space="preserve">Melestarikan konteks bisnis agar model paham makna data</w:t>
            </w:r>
          </w:p>
        </w:tc>
      </w:tr>
      <w:tr>
        <w:tc>
          <w:tcPr/>
          <w:p>
            <w:pPr>
              <w:pStyle w:val="Compact"/>
            </w:pPr>
            <w:r>
              <w:t xml:space="preserve">SAP Databricks</w:t>
            </w:r>
          </w:p>
        </w:tc>
        <w:tc>
          <w:tcPr/>
          <w:p>
            <w:pPr>
              <w:pStyle w:val="Compact"/>
            </w:pPr>
            <w:r>
              <w:t xml:space="preserve">Pengembangan model AI/ML,</w:t>
            </w:r>
            <w:r>
              <w:t xml:space="preserve"> </w:t>
            </w:r>
            <w:r>
              <w:rPr>
                <w:i/>
                <w:iCs/>
              </w:rPr>
              <w:t xml:space="preserve">data engineering</w:t>
            </w:r>
            <w:r>
              <w:t xml:space="preserve">,</w:t>
            </w:r>
            <w:r>
              <w:t xml:space="preserve"> </w:t>
            </w:r>
            <w:r>
              <w:rPr>
                <w:i/>
                <w:iCs/>
              </w:rPr>
              <w:t xml:space="preserve">lakehouse</w:t>
            </w:r>
            <w:r>
              <w:t xml:space="preserve"> </w:t>
            </w:r>
            <w:r>
              <w:t xml:space="preserve">(Spark/SQL)</w:t>
            </w:r>
          </w:p>
        </w:tc>
        <w:tc>
          <w:tcPr/>
          <w:p>
            <w:pPr>
              <w:pStyle w:val="Compact"/>
            </w:pPr>
            <w:r>
              <w:t xml:space="preserve">Melatih dan men-</w:t>
            </w:r>
            <w:r>
              <w:rPr>
                <w:i/>
                <w:iCs/>
              </w:rPr>
              <w:t xml:space="preserve">deploy</w:t>
            </w:r>
            <w:r>
              <w:t xml:space="preserve"> </w:t>
            </w:r>
            <w:r>
              <w:t xml:space="preserve">model AI kustom di atas data SAP</w:t>
            </w:r>
          </w:p>
        </w:tc>
      </w:tr>
      <w:tr>
        <w:tc>
          <w:tcPr/>
          <w:p>
            <w:pPr>
              <w:pStyle w:val="Compact"/>
            </w:pPr>
            <w:r>
              <w:t xml:space="preserve">SAP Analytics Cloud</w:t>
            </w:r>
          </w:p>
        </w:tc>
        <w:tc>
          <w:tcPr/>
          <w:p>
            <w:pPr>
              <w:pStyle w:val="Compact"/>
            </w:pPr>
            <w:r>
              <w:t xml:space="preserve">Analitik +</w:t>
            </w:r>
            <w:r>
              <w:t xml:space="preserve"> </w:t>
            </w:r>
            <w:r>
              <w:rPr>
                <w:i/>
                <w:iCs/>
              </w:rPr>
              <w:t xml:space="preserve">enterprise planning</w:t>
            </w:r>
            <w:r>
              <w:t xml:space="preserve"> </w:t>
            </w:r>
            <w:r>
              <w:t xml:space="preserve">dengan AI terbenam</w:t>
            </w:r>
          </w:p>
        </w:tc>
        <w:tc>
          <w:tcPr/>
          <w:p>
            <w:pPr>
              <w:pStyle w:val="Compact"/>
            </w:pPr>
            <w:r>
              <w:t xml:space="preserve">Mengonsumsi hasil AI untuk BI dan perencanaan</w:t>
            </w:r>
          </w:p>
        </w:tc>
      </w:tr>
      <w:tr>
        <w:tc>
          <w:tcPr/>
          <w:p>
            <w:pPr>
              <w:pStyle w:val="Compact"/>
            </w:pPr>
            <w:r>
              <w:t xml:space="preserve">SAP HANA Cloud</w:t>
            </w:r>
          </w:p>
        </w:tc>
        <w:tc>
          <w:tcPr/>
          <w:p>
            <w:pPr>
              <w:pStyle w:val="Compact"/>
            </w:pPr>
            <w:r>
              <w:t xml:space="preserve">Pemrosesan</w:t>
            </w:r>
            <w:r>
              <w:t xml:space="preserve"> </w:t>
            </w:r>
            <w:r>
              <w:rPr>
                <w:i/>
                <w:iCs/>
              </w:rPr>
              <w:t xml:space="preserve">in-memory</w:t>
            </w:r>
            <w:r>
              <w:t xml:space="preserve"> </w:t>
            </w:r>
            <w:r>
              <w:t xml:space="preserve">(transaksional, analitis, multi-model)</w:t>
            </w:r>
          </w:p>
        </w:tc>
        <w:tc>
          <w:tcPr/>
          <w:p>
            <w:pPr>
              <w:pStyle w:val="Compact"/>
            </w:pPr>
            <w:r>
              <w:rPr>
                <w:i/>
                <w:iCs/>
              </w:rPr>
              <w:t xml:space="preserve">Inference</w:t>
            </w:r>
            <w:r>
              <w:t xml:space="preserve"> </w:t>
            </w:r>
            <w:r>
              <w:t xml:space="preserve">real-time dan pencarian semantik</w:t>
            </w:r>
          </w:p>
        </w:tc>
      </w:tr>
      <w:tr>
        <w:tc>
          <w:tcPr/>
          <w:p>
            <w:pPr>
              <w:pStyle w:val="Compact"/>
            </w:pPr>
            <w:r>
              <w:t xml:space="preserve">SAP BW</w:t>
            </w:r>
          </w:p>
        </w:tc>
        <w:tc>
          <w:tcPr/>
          <w:p>
            <w:pPr>
              <w:pStyle w:val="Compact"/>
            </w:pPr>
            <w:r>
              <w:t xml:space="preserve">Modernisasi BW</w:t>
            </w:r>
            <w:r>
              <w:t xml:space="preserve"> </w:t>
            </w:r>
            <w:r>
              <w:rPr>
                <w:i/>
                <w:iCs/>
              </w:rPr>
              <w:t xml:space="preserve">on-premise</w:t>
            </w:r>
            <w:r>
              <w:t xml:space="preserve"> </w:t>
            </w:r>
            <w:r>
              <w:t xml:space="preserve">ke cloud</w:t>
            </w:r>
          </w:p>
        </w:tc>
        <w:tc>
          <w:tcPr/>
          <w:p>
            <w:pPr>
              <w:pStyle w:val="Compact"/>
            </w:pPr>
            <w:r>
              <w:t xml:space="preserve">Membawa warehouse lama ke fondasi modern</w:t>
            </w:r>
          </w:p>
        </w:tc>
      </w:tr>
      <w:tr>
        <w:tc>
          <w:tcPr/>
          <w:p>
            <w:pPr>
              <w:pStyle w:val="Compact"/>
            </w:pPr>
            <w:r>
              <w:t xml:space="preserve">SAP Master Data Governance</w:t>
            </w:r>
          </w:p>
        </w:tc>
        <w:tc>
          <w:tcPr/>
          <w:p>
            <w:pPr>
              <w:pStyle w:val="Compact"/>
            </w:pPr>
            <w:r>
              <w:rPr>
                <w:i/>
                <w:iCs/>
              </w:rPr>
              <w:t xml:space="preserve">Governance master data</w:t>
            </w:r>
            <w:r>
              <w:t xml:space="preserve"> </w:t>
            </w:r>
            <w:r>
              <w:t xml:space="preserve">lintas domain</w:t>
            </w:r>
          </w:p>
        </w:tc>
        <w:tc>
          <w:tcPr/>
          <w:p>
            <w:pPr>
              <w:pStyle w:val="Compact"/>
            </w:pPr>
            <w:r>
              <w:t xml:space="preserve">Memastikan data produk/pelanggan/vendor konsisten</w:t>
            </w:r>
          </w:p>
        </w:tc>
      </w:tr>
    </w:tbl>
    <w:p>
      <w:pPr>
        <w:pStyle w:val="BodyText"/>
      </w:pPr>
      <w:r>
        <w:t xml:space="preserve">Bagian yang mengubah cara kerja adalah</w:t>
      </w:r>
      <w:r>
        <w:t xml:space="preserve"> </w:t>
      </w:r>
      <w:r>
        <w:rPr>
          <w:i/>
          <w:iCs/>
        </w:rPr>
        <w:t xml:space="preserve">zero-copy</w:t>
      </w:r>
      <w:r>
        <w:t xml:space="preserve"> </w:t>
      </w:r>
      <w:r>
        <w:t xml:space="preserve">lewat</w:t>
      </w:r>
      <w:r>
        <w:t xml:space="preserve"> </w:t>
      </w:r>
      <w:r>
        <w:rPr>
          <w:b/>
          <w:bCs/>
        </w:rPr>
        <w:t xml:space="preserve">Delta Sharing</w:t>
      </w:r>
      <w:r>
        <w:t xml:space="preserve">, sebuah protokol terbuka dari Databricks. Dengan mekanisme ini,</w:t>
      </w:r>
      <w:r>
        <w:t xml:space="preserve"> </w:t>
      </w:r>
      <w:r>
        <w:rPr>
          <w:i/>
          <w:iCs/>
        </w:rPr>
        <w:t xml:space="preserve">SAP Data Products</w:t>
      </w:r>
      <w:r>
        <w:t xml:space="preserve"> </w:t>
      </w:r>
      <w:r>
        <w:t xml:space="preserve">(dataset yang sudah dikurasi dan kaya makna) di katalog BDC dapat dibagikan ke SAP Databricks tanpa menyalin datanya. Saat berbagi terjadi,</w:t>
      </w:r>
      <w:r>
        <w:t xml:space="preserve"> </w:t>
      </w:r>
      <w:r>
        <w:rPr>
          <w:i/>
          <w:iCs/>
        </w:rPr>
        <w:t xml:space="preserve">Data Product</w:t>
      </w:r>
      <w:r>
        <w:t xml:space="preserve"> </w:t>
      </w:r>
      <w:r>
        <w:t xml:space="preserve">otomatis mengisi</w:t>
      </w:r>
      <w:r>
        <w:t xml:space="preserve"> </w:t>
      </w:r>
      <w:r>
        <w:rPr>
          <w:i/>
          <w:iCs/>
        </w:rPr>
        <w:t xml:space="preserve">Unity Catalog</w:t>
      </w:r>
      <w:r>
        <w:t xml:space="preserve">, yaitu fitur</w:t>
      </w:r>
      <w:r>
        <w:t xml:space="preserve"> </w:t>
      </w:r>
      <w:r>
        <w:rPr>
          <w:i/>
          <w:iCs/>
        </w:rPr>
        <w:t xml:space="preserve">governance</w:t>
      </w:r>
      <w:r>
        <w:t xml:space="preserve"> </w:t>
      </w:r>
      <w:r>
        <w:t xml:space="preserve">milik Databricks yang terintegrasi di dalam SAP Databricks, sehingga metadata dan kontrol akses tetap tersinkron dua arah dari sumber ke model (SAP Architecture Center). Tidak ada salinan ganda yang harus dijaga konsistensinya, dan konteks bisnis ikut terbawa.</w:t>
      </w:r>
    </w:p>
    <w:p>
      <w:pPr>
        <w:pStyle w:val="BodyText"/>
      </w:pPr>
      <w:r>
        <w:t xml:space="preserve">Di sinilah fondasi ERP terbayar. SAP Data Products dimulai dari data S/4HANA, sehingga perusahaan yang sudah menyelesaikan</w:t>
      </w:r>
      <w:r>
        <w:t xml:space="preserve"> </w:t>
      </w:r>
      <w:hyperlink r:id="rId22">
        <w:r>
          <w:rPr>
            <w:rStyle w:val="Hyperlink"/>
          </w:rPr>
          <w:t xml:space="preserve">migrasi ERP ke cloud</w:t>
        </w:r>
      </w:hyperlink>
      <w:r>
        <w:t xml:space="preserve"> </w:t>
      </w:r>
      <w:r>
        <w:t xml:space="preserve">memiliki keunggulan: data inti bisnisnya sudah berada di lingkungan yang siap dibagikan ke model AI lewat</w:t>
      </w:r>
      <w:r>
        <w:t xml:space="preserve"> </w:t>
      </w:r>
      <w:r>
        <w:rPr>
          <w:i/>
          <w:iCs/>
        </w:rPr>
        <w:t xml:space="preserve">zero-copy</w:t>
      </w:r>
      <w:r>
        <w:t xml:space="preserve">, lengkap dengan konteks proses bisnisnya, bukan ekstraksi mentah yang harus dimaknai ulang.</w:t>
      </w:r>
    </w:p>
    <w:p>
      <w:pPr>
        <w:pStyle w:val="BodyText"/>
      </w:pPr>
      <w:r>
        <w:rPr>
          <w:i/>
          <w:iCs/>
        </w:rPr>
        <w:t xml:space="preserve">[Image 03: Diagram arsitektur SAP Business Data Cloud — enam komponen (Datasphere, SAP Analytics Cloud, SAP Databricks, HANA Cloud, BW, Master Data Governance) dalam satu lingkaran/payung platform, dengan panah berlabel</w:t>
      </w:r>
      <w:r>
        <w:rPr>
          <w:i/>
          <w:iCs/>
        </w:rPr>
        <w:t xml:space="preserve"> </w:t>
      </w:r>
      <w:r>
        <w:rPr>
          <w:i/>
          <w:iCs/>
        </w:rPr>
        <w:t xml:space="preserve">“Delta Sharing (zero-copy)”</w:t>
      </w:r>
      <w:r>
        <w:rPr>
          <w:i/>
          <w:iCs/>
        </w:rPr>
        <w:t xml:space="preserve"> </w:t>
      </w:r>
      <w:r>
        <w:rPr>
          <w:i/>
          <w:iCs/>
        </w:rPr>
        <w:t xml:space="preserve">menjulur ke ekosistem eksternal (Databricks, Snowflake, AWS). Nama produk dalam Inggris, label penjelas Bahasa Indonesia, warna korporat biru-SAP]</w:t>
      </w:r>
    </w:p>
    <w:bookmarkEnd w:id="23"/>
    <w:bookmarkStart w:id="24" w:name="X5ebce437ce7dd513e745c044678e138c7253f44"/>
    <w:p>
      <w:pPr>
        <w:pStyle w:val="Heading2"/>
      </w:pPr>
      <w:r>
        <w:t xml:space="preserve">Jangan Beli AI Sebelum Membereskan Fondasi Data Anda</w:t>
      </w:r>
    </w:p>
    <w:p>
      <w:pPr>
        <w:pStyle w:val="FirstParagraph"/>
      </w:pPr>
      <w:r>
        <w:t xml:space="preserve">Saran yang jarang diberikan vendor: jika angka dasar perusahaan saja belum konsisten lintas divisi, tunda pembelian alat AI dan benahi dulu warehouse serta</w:t>
      </w:r>
      <w:r>
        <w:t xml:space="preserve"> </w:t>
      </w:r>
      <w:r>
        <w:rPr>
          <w:i/>
          <w:iCs/>
        </w:rPr>
        <w:t xml:space="preserve">governance</w:t>
      </w:r>
      <w:r>
        <w:t xml:space="preserve">-nya. Membeli model canggih untuk menambal data buruk hanya mempercepat Anda sampai pada kesimpulan yang salah.</w:t>
      </w:r>
      <w:r>
        <w:t xml:space="preserve"> </w:t>
      </w:r>
      <w:r>
        <w:rPr>
          <w:i/>
          <w:iCs/>
        </w:rPr>
        <w:t xml:space="preserve">Garbage in, garbage out</w:t>
      </w:r>
      <w:r>
        <w:t xml:space="preserve"> </w:t>
      </w:r>
      <w:r>
        <w:t xml:space="preserve">tetap berlaku di era AI.</w:t>
      </w:r>
    </w:p>
    <w:p>
      <w:pPr>
        <w:pStyle w:val="BodyText"/>
      </w:pPr>
      <w:r>
        <w:t xml:space="preserve">Gejala</w:t>
      </w:r>
      <w:r>
        <w:t xml:space="preserve"> </w:t>
      </w:r>
      <w:r>
        <w:t xml:space="preserve">“AI washing”</w:t>
      </w:r>
      <w:r>
        <w:t xml:space="preserve"> </w:t>
      </w:r>
      <w:r>
        <w:t xml:space="preserve">mudah dikenali. Ada antusiasme membeli</w:t>
      </w:r>
      <w:r>
        <w:t xml:space="preserve"> </w:t>
      </w:r>
      <w:r>
        <w:rPr>
          <w:i/>
          <w:iCs/>
        </w:rPr>
        <w:t xml:space="preserve">tool</w:t>
      </w:r>
      <w:r>
        <w:t xml:space="preserve">,</w:t>
      </w:r>
      <w:r>
        <w:t xml:space="preserve"> </w:t>
      </w:r>
      <w:r>
        <w:rPr>
          <w:i/>
          <w:iCs/>
        </w:rPr>
        <w:t xml:space="preserve">proof of concept</w:t>
      </w:r>
      <w:r>
        <w:t xml:space="preserve"> </w:t>
      </w:r>
      <w:r>
        <w:t xml:space="preserve">yang tampak menjanjikan di demo, lalu macet saat dihadapkan pada data produksi yang sesungguhnya: tersebar, tak konsisten, tak ber-konteks. Itu bukan kegagalan teknologi; itu fondasi yang dilewati.</w:t>
      </w:r>
    </w:p>
    <w:p>
      <w:pPr>
        <w:pStyle w:val="BodyText"/>
      </w:pPr>
      <w:r>
        <w:t xml:space="preserve">Ambang praktis untuk menahan diri sederhana: jika tiga divisi masih memberi tiga angka berbeda untuk pertanyaan yang sama (</w:t>
      </w:r>
      <w:r>
        <w:t xml:space="preserve">“berapa pendapatan kuartal lalu?”</w:t>
      </w:r>
      <w:r>
        <w:t xml:space="preserve">), prioritaskan</w:t>
      </w:r>
      <w:r>
        <w:t xml:space="preserve"> </w:t>
      </w:r>
      <w:r>
        <w:rPr>
          <w:i/>
          <w:iCs/>
        </w:rPr>
        <w:t xml:space="preserve">single source of truth</w:t>
      </w:r>
      <w:r>
        <w:t xml:space="preserve"> </w:t>
      </w:r>
      <w:r>
        <w:t xml:space="preserve">dan</w:t>
      </w:r>
      <w:r>
        <w:t xml:space="preserve"> </w:t>
      </w:r>
      <w:r>
        <w:rPr>
          <w:i/>
          <w:iCs/>
        </w:rPr>
        <w:t xml:space="preserve">data governance</w:t>
      </w:r>
      <w:r>
        <w:t xml:space="preserve"> </w:t>
      </w:r>
      <w:r>
        <w:t xml:space="preserve">lebih dulu. Tanpa kesepakatan atas angka dasar, model AI Anda hanya akan memperbesar perselisihan itu, kini dengan lapisan probabilistik yang lebih sulit dibantah.</w:t>
      </w:r>
    </w:p>
    <w:p>
      <w:pPr>
        <w:pStyle w:val="BodyText"/>
      </w:pPr>
      <w:r>
        <w:t xml:space="preserve">Di titik inilah asesmen kesiapan data sering membuka mata. Dalam praktik konsultasi data, pola yang berulang adalah perusahaan yang ingin AI tetapi belum punya fondasi yang governed, dan penilaian jujur di awal biasanya menghemat jauh lebih banyak daripada</w:t>
      </w:r>
      <w:r>
        <w:t xml:space="preserve"> </w:t>
      </w:r>
      <w:r>
        <w:rPr>
          <w:i/>
          <w:iCs/>
        </w:rPr>
        <w:t xml:space="preserve">proof of concept</w:t>
      </w:r>
      <w:r>
        <w:t xml:space="preserve"> </w:t>
      </w:r>
      <w:r>
        <w:t xml:space="preserve">yang gagal di kemudian hari. Kabar baiknya, membereskan fondasi bukan pekerjaan yang sia-sia: warehouse yang tertata langsung memperbaiki pelaporan dan BI hari ini, jauh sebelum model AI pertama Anda menyala.</w:t>
      </w:r>
    </w:p>
    <w:bookmarkEnd w:id="24"/>
    <w:bookmarkStart w:id="31" w:name="faq-pertanyaan-yang-sering-diajukan"/>
    <w:p>
      <w:pPr>
        <w:pStyle w:val="Heading2"/>
      </w:pPr>
      <w:r>
        <w:t xml:space="preserve">FAQ (Pertanyaan yang Sering Diajukan)</w:t>
      </w:r>
    </w:p>
    <w:bookmarkStart w:id="25" w:name="Xadbf71f40b3458eb0b4075f48abf29244238611"/>
    <w:p>
      <w:pPr>
        <w:pStyle w:val="Heading3"/>
      </w:pPr>
      <w:r>
        <w:t xml:space="preserve">Apakah perlu data warehouse untuk menjalankan AI?</w:t>
      </w:r>
    </w:p>
    <w:p>
      <w:pPr>
        <w:pStyle w:val="FirstParagraph"/>
      </w:pPr>
      <w:r>
        <w:t xml:space="preserve">Ya. Model AI belajar dari data, sehingga kualitas keluarannya bergantung langsung pada kualitas, konsistensi, dan konteks data yang dipakai. Tanpa data warehouse yang terkonsolidasi, model menerima data tersebar dan tanpa konteks bisnis. Gartner memprediksi 60% proyek AI tanpa data AI-ready akan dibatalkan pada 2026, dan warehouse adalah cara mencegah perusahaan masuk ke dalam angka itu.</w:t>
      </w:r>
    </w:p>
    <w:bookmarkEnd w:id="25"/>
    <w:bookmarkStart w:id="26" w:name="apa-itu-data-yang-siap-ai-ai-ready"/>
    <w:p>
      <w:pPr>
        <w:pStyle w:val="Heading3"/>
      </w:pPr>
      <w:r>
        <w:t xml:space="preserve">Apa itu data yang siap AI (AI-ready)?</w:t>
      </w:r>
    </w:p>
    <w:p>
      <w:pPr>
        <w:pStyle w:val="FirstParagraph"/>
      </w:pPr>
      <w:r>
        <w:t xml:space="preserve">Data siap AI memenuhi lima dimensi: kualitas (akurat, tidak duplikat), konsistensi (angka sama di semua sistem), lineage &amp; governance (asal dan akses tercatat), konteks semantik (definisi bisnis melekat), serta aksesibilitas (dapat diakses tim data tanpa hambatan). Volume besar tidak menjamin kesiapan; sebuah data bisa melimpah namun tetap tidak layak dipakai model.</w:t>
      </w:r>
    </w:p>
    <w:bookmarkEnd w:id="26"/>
    <w:bookmarkStart w:id="27" w:name="apa-itu-sap-business-data-cloud"/>
    <w:p>
      <w:pPr>
        <w:pStyle w:val="Heading3"/>
      </w:pPr>
      <w:r>
        <w:t xml:space="preserve">Apa itu SAP Business Data Cloud?</w:t>
      </w:r>
    </w:p>
    <w:p>
      <w:pPr>
        <w:pStyle w:val="FirstParagraph"/>
      </w:pPr>
      <w:r>
        <w:t xml:space="preserve">SAP Business Data Cloud (BDC) adalah platform SaaS terkelola penuh yang menyatukan dan mengatur data SAP dan non-SAP. Diluncurkan 13 Februari 2025 dan tersedia umum sejak April 2025, BDC mengintegrasikan SAP Datasphere, SAP Analytics Cloud, SAP Databricks, SAP HANA Cloud, SAP BW, dan SAP Master Data Governance dalam satu fondasi data tepercaya untuk AI dan analitik.</w:t>
      </w:r>
    </w:p>
    <w:bookmarkEnd w:id="27"/>
    <w:bookmarkStart w:id="28" w:name="Xff8e60842fc05d9166b9c1ae9a6b06534df7b35"/>
    <w:p>
      <w:pPr>
        <w:pStyle w:val="Heading3"/>
      </w:pPr>
      <w:r>
        <w:t xml:space="preserve">Apa peran Databricks dalam SAP Business Data Cloud?</w:t>
      </w:r>
    </w:p>
    <w:p>
      <w:pPr>
        <w:pStyle w:val="FirstParagraph"/>
      </w:pPr>
      <w:r>
        <w:t xml:space="preserve">SAP Databricks adalah komponen native di dalam BDC, yakni versi</w:t>
      </w:r>
      <w:r>
        <w:t xml:space="preserve"> </w:t>
      </w:r>
      <w:r>
        <w:rPr>
          <w:i/>
          <w:iCs/>
        </w:rPr>
        <w:t xml:space="preserve">lakehouse</w:t>
      </w:r>
      <w:r>
        <w:t xml:space="preserve"> </w:t>
      </w:r>
      <w:r>
        <w:t xml:space="preserve">Databricks yang dikelola sepenuhnya oleh SAP. Ia memungkinkan pengembangan model AI/ML kustom,</w:t>
      </w:r>
      <w:r>
        <w:t xml:space="preserve"> </w:t>
      </w:r>
      <w:r>
        <w:rPr>
          <w:i/>
          <w:iCs/>
        </w:rPr>
        <w:t xml:space="preserve">data engineering</w:t>
      </w:r>
      <w:r>
        <w:t xml:space="preserve">, dan analitik</w:t>
      </w:r>
      <w:r>
        <w:t xml:space="preserve"> </w:t>
      </w:r>
      <w:r>
        <w:rPr>
          <w:i/>
          <w:iCs/>
        </w:rPr>
        <w:t xml:space="preserve">lakehouse</w:t>
      </w:r>
      <w:r>
        <w:t xml:space="preserve"> </w:t>
      </w:r>
      <w:r>
        <w:t xml:space="preserve">dengan Spark dan SQL, dan sudah GA di AWS.</w:t>
      </w:r>
      <w:r>
        <w:t xml:space="preserve"> </w:t>
      </w:r>
      <w:r>
        <w:rPr>
          <w:i/>
          <w:iCs/>
        </w:rPr>
        <w:t xml:space="preserve">Governance</w:t>
      </w:r>
      <w:r>
        <w:t xml:space="preserve"> </w:t>
      </w:r>
      <w:r>
        <w:t xml:space="preserve">data dikelola lewat Unity Catalog Databricks yang terintegrasi langsung dengan katalog BDC.</w:t>
      </w:r>
    </w:p>
    <w:bookmarkEnd w:id="28"/>
    <w:bookmarkStart w:id="29" w:name="X132d18986a106740d16672fbe5a517a4bf4c892"/>
    <w:p>
      <w:pPr>
        <w:pStyle w:val="Heading3"/>
      </w:pPr>
      <w:r>
        <w:t xml:space="preserve">Apa itu zero-copy dan Delta Sharing dalam konteks SAP?</w:t>
      </w:r>
    </w:p>
    <w:p>
      <w:pPr>
        <w:pStyle w:val="FirstParagraph"/>
      </w:pPr>
      <w:r>
        <w:t xml:space="preserve">Delta Sharing adalah protokol terbuka dari Databricks yang memungkinkan SAP Data Products dibagikan ke SAP Databricks (atau platform lain seperti Snowflake dan Amazon Athena) tanpa menyalin data (</w:t>
      </w:r>
      <w:r>
        <w:rPr>
          <w:i/>
          <w:iCs/>
        </w:rPr>
        <w:t xml:space="preserve">zero-copy</w:t>
      </w:r>
      <w:r>
        <w:t xml:space="preserve">). Saat berbagi terjadi,</w:t>
      </w:r>
      <w:r>
        <w:t xml:space="preserve"> </w:t>
      </w:r>
      <w:r>
        <w:rPr>
          <w:i/>
          <w:iCs/>
        </w:rPr>
        <w:t xml:space="preserve">Data Product</w:t>
      </w:r>
      <w:r>
        <w:t xml:space="preserve"> </w:t>
      </w:r>
      <w:r>
        <w:t xml:space="preserve">otomatis mengisi Unity Catalog, menjaga metadata dan</w:t>
      </w:r>
      <w:r>
        <w:t xml:space="preserve"> </w:t>
      </w:r>
      <w:r>
        <w:rPr>
          <w:i/>
          <w:iCs/>
        </w:rPr>
        <w:t xml:space="preserve">governance</w:t>
      </w:r>
      <w:r>
        <w:t xml:space="preserve"> </w:t>
      </w:r>
      <w:r>
        <w:t xml:space="preserve">tetap tersinkron dua arah dari sumber ke model AI.</w:t>
      </w:r>
    </w:p>
    <w:bookmarkEnd w:id="29"/>
    <w:bookmarkStart w:id="30" w:name="X500b9374131bb46b84a448247d8f3da697e3f04"/>
    <w:p>
      <w:pPr>
        <w:pStyle w:val="Heading3"/>
      </w:pPr>
      <w:r>
        <w:t xml:space="preserve">Mengapa banyak proyek AI gagal di tahap data?</w:t>
      </w:r>
    </w:p>
    <w:p>
      <w:pPr>
        <w:pStyle w:val="FirstParagraph"/>
      </w:pPr>
      <w:r>
        <w:t xml:space="preserve">Karena data di banyak perusahaan masih tersebar, tidak konsisten, dan tanpa konteks bisnis. Cisco AI Readiness Index 2025 menemukan hanya 19% perusahaan punya data terpusat penuh, dan McKinsey melaporkan 8 dari 10 perusahaan menyebut keterbatasan data sebagai penghalang utama men-</w:t>
      </w:r>
      <w:r>
        <w:rPr>
          <w:i/>
          <w:iCs/>
        </w:rPr>
        <w:t xml:space="preserve">scale</w:t>
      </w:r>
      <w:r>
        <w:t xml:space="preserve"> </w:t>
      </w:r>
      <w:r>
        <w:t xml:space="preserve">AI. Singkatnya, prinsip</w:t>
      </w:r>
      <w:r>
        <w:t xml:space="preserve"> </w:t>
      </w:r>
      <w:r>
        <w:rPr>
          <w:i/>
          <w:iCs/>
        </w:rPr>
        <w:t xml:space="preserve">garbage in, garbage out</w:t>
      </w:r>
      <w:r>
        <w:t xml:space="preserve"> </w:t>
      </w:r>
      <w:r>
        <w:t xml:space="preserve">tetap menentukan. Model tidak bisa menebus fondasi data yang buruk.</w:t>
      </w:r>
    </w:p>
    <w:bookmarkEnd w:id="30"/>
    <w:bookmarkEnd w:id="31"/>
    <w:bookmarkStart w:id="32" w:name="kesimpulan"/>
    <w:p>
      <w:pPr>
        <w:pStyle w:val="Heading2"/>
      </w:pPr>
      <w:r>
        <w:t xml:space="preserve">Kesimpulan</w:t>
      </w:r>
    </w:p>
    <w:p>
      <w:pPr>
        <w:pStyle w:val="FirstParagraph"/>
      </w:pPr>
      <w:r>
        <w:t xml:space="preserve">Antusiasme terhadap AI itu wajar dan bahkan perlu. Namun giliran kerjanya dimulai satu lapisan di bawah model, pada fondasi data yang sering dianggap remeh. Angka Gartner, Cisco, dan McKinsey menunjuk ke arah yang sama: yang membedakan perusahaan yang menuai nilai dari AI bukan modelnya, melainkan data warehouse dan</w:t>
      </w:r>
      <w:r>
        <w:t xml:space="preserve"> </w:t>
      </w:r>
      <w:r>
        <w:rPr>
          <w:i/>
          <w:iCs/>
        </w:rPr>
        <w:t xml:space="preserve">governance</w:t>
      </w:r>
      <w:r>
        <w:t xml:space="preserve"> </w:t>
      </w:r>
      <w:r>
        <w:t xml:space="preserve">di belakangnya. Membereskan fondasi itu pun bukan kerja yang menunggu masa depan; ia memperbaiki pelaporan Anda hari ini. Melalui layanan Data and AI Consulting, Soltius membantu merancang fondasi data, misalnya dengan SAP Datasphere atau SAP Business Data Cloud, agar inisiatif AI berdiri di atas data yang tepercaya alih-alih menambal data buruk dengan model.</w:t>
      </w:r>
    </w:p>
    <w:p>
      <w:pPr>
        <w:pStyle w:val="BodyText"/>
      </w:pPr>
      <w:r>
        <w:t xml:space="preserve">Untuk mendiskusikan kesiapan data perusahaan Anda menuju AI, jelajahi solusi data dan analitik yang ditangani Soltius di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2026-06-08T11:34:44Z</dcterms:created>
  <dcterms:modified xsi:type="dcterms:W3CDTF">2026-06-08T11:34:44Z</dcterms:modified>
</cp:coreProperties>
</file>

<file path=docProps/custom.xml><?xml version="1.0" encoding="utf-8"?>
<Properties xmlns="http://schemas.openxmlformats.org/officeDocument/2006/custom-properties" xmlns:vt="http://schemas.openxmlformats.org/officeDocument/2006/docPropsVTypes"/>
</file>