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"RISE with SAP vs GROW with SAP: Mana Jalur Migrasi ERP ke Cloud yang Tepat?"</w:t>
      </w:r>
      <w:r>
        <w:br/>
      </w:r>
      <w:r>
        <w:rPr>
          <w:rStyle w:val="FunctionTok"/>
        </w:rPr>
        <w:t xml:space="preserve">meta_title</w:t>
      </w:r>
      <w:r>
        <w:rPr>
          <w:rStyle w:val="KeywordTok"/>
        </w:rPr>
        <w:t xml:space="preserve">:</w:t>
      </w:r>
      <w:r>
        <w:rPr>
          <w:rStyle w:val="AttributeTok"/>
        </w:rPr>
        <w:t xml:space="preserve"> </w:t>
      </w:r>
      <w:r>
        <w:rPr>
          <w:rStyle w:val="StringTok"/>
        </w:rPr>
        <w:t xml:space="preserve">"RISE vs GROW with SAP: Pilih Jalur Migrasi ERP Cloud"</w:t>
      </w:r>
      <w:r>
        <w:br/>
      </w:r>
      <w:r>
        <w:rPr>
          <w:rStyle w:val="FunctionTok"/>
        </w:rPr>
        <w:t xml:space="preserve">meta_description</w:t>
      </w:r>
      <w:r>
        <w:rPr>
          <w:rStyle w:val="KeywordTok"/>
        </w:rPr>
        <w:t xml:space="preserve">:</w:t>
      </w:r>
      <w:r>
        <w:rPr>
          <w:rStyle w:val="AttributeTok"/>
        </w:rPr>
        <w:t xml:space="preserve"> </w:t>
      </w:r>
      <w:r>
        <w:rPr>
          <w:rStyle w:val="StringTok"/>
        </w:rPr>
        <w:t xml:space="preserve">"RISE with SAP vs GROW with SAP untuk migrasi ERP ke cloud: beda edisi cloud, kustomisasi, kecepatan go-live, dan profil perusahaan yang cocok tiap jalur."</w:t>
      </w:r>
      <w:r>
        <w:br/>
      </w:r>
      <w:r>
        <w:rPr>
          <w:rStyle w:val="FunctionTok"/>
        </w:rPr>
        <w:t xml:space="preserve">slug</w:t>
      </w:r>
      <w:r>
        <w:rPr>
          <w:rStyle w:val="KeywordTok"/>
        </w:rPr>
        <w:t xml:space="preserve">:</w:t>
      </w:r>
      <w:r>
        <w:rPr>
          <w:rStyle w:val="AttributeTok"/>
        </w:rPr>
        <w:t xml:space="preserve"> </w:t>
      </w:r>
      <w:r>
        <w:rPr>
          <w:rStyle w:val="StringTok"/>
        </w:rPr>
        <w:t xml:space="preserve">"rise-vs-grow-with-sap-migrasi-erp-cloud"</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"ERP migration to the cloud"</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"RISE with SAP"</w:t>
      </w:r>
      <w:r>
        <w:br/>
      </w:r>
      <w:r>
        <w:rPr>
          <w:rStyle w:val="AttributeTok"/>
        </w:rPr>
        <w:t xml:space="preserve">  </w:t>
      </w:r>
      <w:r>
        <w:rPr>
          <w:rStyle w:val="KeywordTok"/>
        </w:rPr>
        <w:t xml:space="preserve">-</w:t>
      </w:r>
      <w:r>
        <w:rPr>
          <w:rStyle w:val="AttributeTok"/>
        </w:rPr>
        <w:t xml:space="preserve"> </w:t>
      </w:r>
      <w:r>
        <w:rPr>
          <w:rStyle w:val="StringTok"/>
        </w:rPr>
        <w:t xml:space="preserve">"GROW with SAP"</w:t>
      </w:r>
      <w:r>
        <w:br/>
      </w:r>
      <w:r>
        <w:rPr>
          <w:rStyle w:val="AttributeTok"/>
        </w:rPr>
        <w:t xml:space="preserve">  </w:t>
      </w:r>
      <w:r>
        <w:rPr>
          <w:rStyle w:val="KeywordTok"/>
        </w:rPr>
        <w:t xml:space="preserve">-</w:t>
      </w:r>
      <w:r>
        <w:rPr>
          <w:rStyle w:val="AttributeTok"/>
        </w:rPr>
        <w:t xml:space="preserve"> </w:t>
      </w:r>
      <w:r>
        <w:rPr>
          <w:rStyle w:val="StringTok"/>
        </w:rPr>
        <w:t xml:space="preserve">"SAP S/4HANA Cloud Private Edition"</w:t>
      </w:r>
      <w:r>
        <w:br/>
      </w:r>
      <w:r>
        <w:rPr>
          <w:rStyle w:val="AttributeTok"/>
        </w:rPr>
        <w:t xml:space="preserve">  </w:t>
      </w:r>
      <w:r>
        <w:rPr>
          <w:rStyle w:val="KeywordTok"/>
        </w:rPr>
        <w:t xml:space="preserve">-</w:t>
      </w:r>
      <w:r>
        <w:rPr>
          <w:rStyle w:val="AttributeTok"/>
        </w:rPr>
        <w:t xml:space="preserve"> </w:t>
      </w:r>
      <w:r>
        <w:rPr>
          <w:rStyle w:val="StringTok"/>
        </w:rPr>
        <w:t xml:space="preserve">"SAP S/4HANA Cloud Public Edition"</w:t>
      </w:r>
      <w:r>
        <w:br/>
      </w:r>
      <w:r>
        <w:rPr>
          <w:rStyle w:val="AttributeTok"/>
        </w:rPr>
        <w:t xml:space="preserve">  </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StringTok"/>
        </w:rPr>
        <w:t xml:space="preserve">"fit-to-standard"</w:t>
      </w:r>
      <w:r>
        <w:br/>
      </w:r>
      <w:r>
        <w:rPr>
          <w:rStyle w:val="AttributeTok"/>
        </w:rPr>
        <w:t xml:space="preserve">  </w:t>
      </w:r>
      <w:r>
        <w:rPr>
          <w:rStyle w:val="KeywordTok"/>
        </w:rPr>
        <w:t xml:space="preserve">-</w:t>
      </w:r>
      <w:r>
        <w:rPr>
          <w:rStyle w:val="AttributeTok"/>
        </w:rPr>
        <w:t xml:space="preserve"> </w:t>
      </w:r>
      <w:r>
        <w:rPr>
          <w:rStyle w:val="StringTok"/>
        </w:rPr>
        <w:t xml:space="preserve">"SAP Business Technology Platform"</w:t>
      </w:r>
      <w:r>
        <w:br/>
      </w:r>
      <w:r>
        <w:rPr>
          <w:rStyle w:val="AttributeTok"/>
        </w:rPr>
        <w:t xml:space="preserve">  </w:t>
      </w:r>
      <w:r>
        <w:rPr>
          <w:rStyle w:val="KeywordTok"/>
        </w:rPr>
        <w:t xml:space="preserve">-</w:t>
      </w:r>
      <w:r>
        <w:rPr>
          <w:rStyle w:val="AttributeTok"/>
        </w:rPr>
        <w:t xml:space="preserve"> </w:t>
      </w:r>
      <w:r>
        <w:rPr>
          <w:rStyle w:val="StringTok"/>
        </w:rPr>
        <w:t xml:space="preserve">"brownfield vs greenfield"</w:t>
      </w:r>
      <w:r>
        <w:br/>
      </w:r>
      <w:r>
        <w:rPr>
          <w:rStyle w:val="AttributeTok"/>
        </w:rPr>
        <w:t xml:space="preserve">  </w:t>
      </w:r>
      <w:r>
        <w:rPr>
          <w:rStyle w:val="KeywordTok"/>
        </w:rPr>
        <w:t xml:space="preserve">-</w:t>
      </w:r>
      <w:r>
        <w:rPr>
          <w:rStyle w:val="AttributeTok"/>
        </w:rPr>
        <w:t xml:space="preserve"> </w:t>
      </w:r>
      <w:r>
        <w:rPr>
          <w:rStyle w:val="StringTok"/>
        </w:rPr>
        <w:t xml:space="preserve">"SAP Clean Core"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"https://learning.sap.com/courses/exploring-sap-cloud-erp/differentiating-grow-and-rise-with-sap"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RISE vs GROW, target audiens, edisi cloud, klaim go-live 4 minggu (kondisi terbatas), GROW greenfield-only"</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"https://support.sap.com/en/release-upgrade-maintenance/maintenance-information/maintenance-strategy/s4hana-business-suite7.html"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"Tanggal ECC mainstream maintenance berakhir 31 Des 2027, extended hingga 2030"</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"https://news.sap.com/2025/02/sap-erp-private-edition-transition-option-navigate-complex-rise-with-sap-transformations/"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"Opsi SAP ERP private edition transition option 2031-2033, langganan cloud baru, bukan perpanjangan on-premise"</w:t>
      </w:r>
      <w:r>
        <w:br/>
      </w:r>
      <w:r>
        <w:rPr>
          <w:rStyle w:val="FunctionTok"/>
        </w:rPr>
        <w:t xml:space="preserve">brief_id</w:t>
      </w:r>
      <w:r>
        <w:rPr>
          <w:rStyle w:val="KeywordTok"/>
        </w:rPr>
        <w:t xml:space="preserve">:</w:t>
      </w:r>
      <w:r>
        <w:rPr>
          <w:rStyle w:val="AttributeTok"/>
        </w:rPr>
        <w:t xml:space="preserve"> </w:t>
      </w:r>
      <w:r>
        <w:rPr>
          <w:rStyle w:val="StringTok"/>
        </w:rPr>
        <w:t xml:space="preserve">"erp-migration-to-the-cloud-01"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"2026-08"</w:t>
      </w:r>
      <w:r>
        <w:br/>
      </w:r>
      <w:r>
        <w:rPr>
          <w:rStyle w:val="FunctionTok"/>
        </w:rPr>
        <w:t xml:space="preserve">date_modified</w:t>
      </w:r>
      <w:r>
        <w:rPr>
          <w:rStyle w:val="KeywordTok"/>
        </w:rPr>
        <w:t xml:space="preserve">:</w:t>
      </w:r>
      <w:r>
        <w:rPr>
          <w:rStyle w:val="AttributeTok"/>
        </w:rPr>
        <w:t xml:space="preserve"> </w:t>
      </w:r>
      <w:r>
        <w:rPr>
          <w:rStyle w:val="StringTok"/>
        </w:rPr>
        <w:t xml:space="preserve">"2026-06-08"</w:t>
      </w:r>
      <w:r>
        <w:br/>
      </w:r>
      <w:r>
        <w:rPr>
          <w:rStyle w:val="FunctionTok"/>
        </w:rPr>
        <w:t xml:space="preserve">word_count</w:t>
      </w:r>
      <w:r>
        <w:rPr>
          <w:rStyle w:val="KeywordTok"/>
        </w:rPr>
        <w:t xml:space="preserve">:</w:t>
      </w:r>
      <w:r>
        <w:rPr>
          <w:rStyle w:val="AttributeTok"/>
        </w:rPr>
        <w:t xml:space="preserve"> </w:t>
      </w:r>
      <w:r>
        <w:rPr>
          <w:rStyle w:val="DecValTok"/>
        </w:rPr>
        <w:t xml:space="preserve">1680</w:t>
      </w:r>
    </w:p>
    <w:p>
      <w:r>
        <w:pict>
          <v:rect style="width:0;height:1.5pt" o:hralign="center" o:hrstd="t" o:hr="t"/>
        </w:pict>
      </w:r>
    </w:p>
    <w:bookmarkEnd w:id="16"/>
    <w:bookmarkStart w:id="34" w:name="X787dc7486a3721b2ff1dca232f2f1ff8a383d86"/>
    <w:p>
      <w:pPr>
        <w:pStyle w:val="Heading1"/>
      </w:pPr>
      <w:r>
        <w:t xml:space="preserve">RISE with SAP vs GROW with SAP: Mana Jalur Migrasi ERP ke Cloud yang Tepat?</w:t>
      </w:r>
    </w:p>
    <w:p>
      <w:pPr>
        <w:pStyle w:val="FirstParagraph"/>
      </w:pPr>
      <w:r>
        <w:t xml:space="preserve">Begitu seorang CIO atau CFO mulai serius menjadwalkan migrasi ERP ke cloud, dua nama langsung muncul dan membingungkan: RISE with SAP dan GROW with SAP. Brosur dan blog menjelaskan keduanya secara terpisah, tetapi hampir tidak ada yang menempatkannya berdampingan untuk menjawab pertanyaan yang sebenarnya,</w:t>
      </w:r>
      <w:r>
        <w:t xml:space="preserve"> </w:t>
      </w:r>
      <w:r>
        <w:t xml:space="preserve">“yang mana untuk perusahaan saya?”</w:t>
      </w:r>
      <w:r>
        <w:t xml:space="preserve"> </w:t>
      </w:r>
      <w:r>
        <w:t xml:space="preserve">Pilihan ini menentukan edisi cloud, sejauh mana sistem boleh dikustomisasi, kecepatan</w:t>
      </w:r>
      <w:r>
        <w:t xml:space="preserve"> </w:t>
      </w:r>
      <w:r>
        <w:rPr>
          <w:i/>
          <w:iCs/>
        </w:rPr>
        <w:t xml:space="preserve">go-live</w:t>
      </w:r>
      <w:r>
        <w:t xml:space="preserve">, sampai struktur biaya bertahun-tahun ke depan. Artikel ini membandingkan keduanya sebagai keputusan komersial, bukan adu fitur teknis, lengkap dengan matriks per-kondisi bisnis agar Anda bisa mencocokkannya dengan profil perusahaan sendiri.</w:t>
      </w:r>
    </w:p>
    <w:p>
      <w:pPr>
        <w:pStyle w:val="BlockText"/>
      </w:pPr>
      <w:r>
        <w:rPr>
          <w:b/>
          <w:bCs/>
        </w:rPr>
        <w:t xml:space="preserve">Secara singkat:</w:t>
      </w:r>
      <w:r>
        <w:t xml:space="preserve"> </w:t>
      </w:r>
      <w:r>
        <w:t xml:space="preserve">RISE with SAP dan GROW with SAP adalah dua program komersial SAP untuk migrasi ERP ke cloud. RISE dirancang untuk perusahaan dengan sistem SAP eksisting yang kompleks, berjalan di atas SAP S/4HANA Cloud Private Edition. GROW ditujukan untuk perusahaan baru yang menginginkan adopsi cepat berbasis standar, menggunakan SAP S/4HANA Cloud Public Edition.</w:t>
      </w:r>
    </w:p>
    <w:p>
      <w:pPr>
        <w:pStyle w:val="FirstParagraph"/>
      </w:pPr>
      <w:r>
        <w:t xml:space="preserve">Di tengah jalan, kita juga akan menyinggung topik yang lebih luas tentang</w:t>
      </w:r>
      <w:r>
        <w:t xml:space="preserve"> </w:t>
      </w:r>
      <w:hyperlink r:id="rId17">
        <w:r>
          <w:rPr>
            <w:rStyle w:val="Hyperlink"/>
          </w:rPr>
          <w:t xml:space="preserve">migrasi ERP ke cloud</w:t>
        </w:r>
      </w:hyperlink>
      <w:r>
        <w:t xml:space="preserve">, mulai dari kesiapan data, kustomisasi, hingga tenggat dukungan SAP ECC yang sering menjadi pemaksa keputusan.</w:t>
      </w:r>
    </w:p>
    <w:p>
      <w:pPr>
        <w:pStyle w:val="BodyText"/>
      </w:pPr>
      <w:r>
        <w:rPr>
          <w:i/>
          <w:iCs/>
        </w:rPr>
        <w:t xml:space="preserve">[Image 01: Diagram side-by-side perbandingan</w:t>
      </w:r>
      <w:r>
        <w:rPr>
          <w:i/>
          <w:iCs/>
        </w:rPr>
        <w:t xml:space="preserve"> </w:t>
      </w:r>
      <w:r>
        <w:rPr>
          <w:i/>
          <w:iCs/>
        </w:rPr>
        <w:t xml:space="preserve">“RISE with SAP”</w:t>
      </w:r>
      <w:r>
        <w:rPr>
          <w:i/>
          <w:iCs/>
        </w:rPr>
        <w:t xml:space="preserve"> </w:t>
      </w:r>
      <w:r>
        <w:rPr>
          <w:i/>
          <w:iCs/>
        </w:rPr>
        <w:t xml:space="preserve">vs</w:t>
      </w:r>
      <w:r>
        <w:rPr>
          <w:i/>
          <w:iCs/>
        </w:rPr>
        <w:t xml:space="preserve"> </w:t>
      </w:r>
      <w:r>
        <w:rPr>
          <w:i/>
          <w:iCs/>
        </w:rPr>
        <w:t xml:space="preserve">“GROW with SAP”</w:t>
      </w:r>
      <w:r>
        <w:rPr>
          <w:i/>
          <w:iCs/>
        </w:rPr>
        <w:t xml:space="preserve"> </w:t>
      </w:r>
      <w:r>
        <w:rPr>
          <w:i/>
          <w:iCs/>
        </w:rPr>
        <w:t xml:space="preserve">— dua kolom, kiri biru tua bertema enterprise/kompleks, kanan hijau bertema growth/cepat; baris mencakup target audiens, edisi cloud, kustomisasi, siklus update, dan kecepatan go-live; gaya korporat, teks Bahasa Indonesia, format landscape agar bisa dipotong sebagai infografik mandiri]</w:t>
      </w:r>
    </w:p>
    <w:bookmarkStart w:id="19" w:name="apa-itu-rise-with-sap-dan-grow-with-sap"/>
    <w:p>
      <w:pPr>
        <w:pStyle w:val="Heading2"/>
      </w:pPr>
      <w:r>
        <w:t xml:space="preserve">Apa Itu RISE with SAP dan GROW with SAP?</w:t>
      </w:r>
    </w:p>
    <w:p>
      <w:pPr>
        <w:pStyle w:val="FirstParagraph"/>
      </w:pPr>
      <w:r>
        <w:t xml:space="preserve">RISE with SAP adalah program transformasi cloud SAP untuk perusahaan yang sudah memakai SAP dengan lanskap kompleks; intinya adalah SAP S/4HANA Cloud Private Edition (sejak 2025 dipasarkan ulang sebagai SAP Cloud ERP Private). GROW with SAP menyasar perusahaan baru atau kelas menengah yang ingin cepat memakai cloud ERP berbasis standar, berjalan di SAP S/4HANA Cloud Public Edition (kini SAP Cloud ERP).</w:t>
      </w:r>
    </w:p>
    <w:p>
      <w:pPr>
        <w:pStyle w:val="BodyText"/>
      </w:pPr>
      <w:r>
        <w:t xml:space="preserve">Keduanya berujung di keluarga produk S/4HANA Cloud yang sama, tetapi dirancang untuk dua titik awal yang berbeda. Menurut SAP Learning dalam modul</w:t>
      </w:r>
      <w:r>
        <w:t xml:space="preserve"> </w:t>
      </w:r>
      <w:r>
        <w:t xml:space="preserve">“Differentiating GROW and RISE with SAP”</w:t>
      </w:r>
      <w:r>
        <w:t xml:space="preserve">, RISE diposisikan sebagai jalur transformasi bagi pelanggan eksisting, sedangkan GROW adalah jalur adopsi cepat bagi pendatang baru di ekosistem SAP.</w:t>
      </w:r>
    </w:p>
    <w:p>
      <w:pPr>
        <w:pStyle w:val="BodyText"/>
      </w:pPr>
      <w:r>
        <w:t xml:space="preserve">Satu hal yang sering membingungkan pembaca: penamaan. Pada awal 2025 SAP merapikan nama produknya.</w:t>
      </w:r>
      <w:r>
        <w:t xml:space="preserve"> </w:t>
      </w:r>
      <w:r>
        <w:t xml:space="preserve">“SAP S/4HANA Cloud, private edition”</w:t>
      </w:r>
      <w:r>
        <w:t xml:space="preserve"> </w:t>
      </w:r>
      <w:r>
        <w:t xml:space="preserve">menjadi SAP Cloud ERP Private, dan versi</w:t>
      </w:r>
      <w:r>
        <w:t xml:space="preserve"> </w:t>
      </w:r>
      <w:r>
        <w:rPr>
          <w:i/>
          <w:iCs/>
        </w:rPr>
        <w:t xml:space="preserve">public</w:t>
      </w:r>
      <w:r>
        <w:t xml:space="preserve"> </w:t>
      </w:r>
      <w:r>
        <w:t xml:space="preserve">menjadi SAP Cloud ERP. Brand RISE with SAP dan GROW with SAP sendiri tetap aktif sebagai</w:t>
      </w:r>
      <w:r>
        <w:t xml:space="preserve"> </w:t>
      </w:r>
      <w:r>
        <w:rPr>
          <w:i/>
          <w:iCs/>
        </w:rPr>
        <w:t xml:space="preserve">journey</w:t>
      </w:r>
      <w:r>
        <w:t xml:space="preserve"> </w:t>
      </w:r>
      <w:r>
        <w:t xml:space="preserve">atau metodologi. Dokumentasi teknis, komunitas implementer, dan percakapan di lapangan masih banyak memakai nama lama, jadi di artikel ini keduanya disebut berdampingan.</w:t>
      </w:r>
    </w:p>
    <w:p>
      <w:pPr>
        <w:pStyle w:val="BodyText"/>
      </w:pPr>
      <w:r>
        <w:t xml:space="preserve">Migrasi ke S/4HANA Cloud juga jarang berdiri sendiri. Lapisan analitik dan pelaporan biasanya ikut dimodernisasi; perusahaan yang serius menata datanya sering memasangkan langkah ini dengan penyegaran</w:t>
      </w:r>
      <w:r>
        <w:t xml:space="preserve"> </w:t>
      </w:r>
      <w:hyperlink r:id="rId18">
        <w:r>
          <w:rPr>
            <w:rStyle w:val="Hyperlink"/>
          </w:rPr>
          <w:t xml:space="preserve">data warehouse solutions</w:t>
        </w:r>
      </w:hyperlink>
      <w:r>
        <w:t xml:space="preserve"> </w:t>
      </w:r>
      <w:r>
        <w:t xml:space="preserve">agar laporan tetap satu sumber kebenaran setelah pindah.</w:t>
      </w:r>
    </w:p>
    <w:bookmarkEnd w:id="19"/>
    <w:bookmarkStart w:id="20" w:name="rise-vs-grow-perbandingan-berdampingan"/>
    <w:p>
      <w:pPr>
        <w:pStyle w:val="Heading2"/>
      </w:pPr>
      <w:r>
        <w:t xml:space="preserve">RISE vs GROW: Perbandingan Berdampingan</w:t>
      </w:r>
    </w:p>
    <w:p>
      <w:pPr>
        <w:pStyle w:val="FirstParagraph"/>
      </w:pPr>
      <w:r>
        <w:t xml:space="preserve">Perbedaan terbesar bukan soal merek, melainkan arsitektur dan kebebasan kustomisasi. RISE memakai SAP S/4HANA Cloud Private Edition yang bersifat</w:t>
      </w:r>
      <w:r>
        <w:t xml:space="preserve"> </w:t>
      </w:r>
      <w:r>
        <w:rPr>
          <w:i/>
          <w:iCs/>
        </w:rPr>
        <w:t xml:space="preserve">single-tenant</w:t>
      </w:r>
      <w:r>
        <w:t xml:space="preserve"> </w:t>
      </w:r>
      <w:r>
        <w:t xml:space="preserve">(lingkungan khusus untuk satu pelanggan), mendukung migrasi</w:t>
      </w:r>
      <w:r>
        <w:t xml:space="preserve"> </w:t>
      </w:r>
      <w:r>
        <w:rPr>
          <w:i/>
          <w:iCs/>
        </w:rPr>
        <w:t xml:space="preserve">brownfield</w:t>
      </w:r>
      <w:r>
        <w:t xml:space="preserve"> </w:t>
      </w:r>
      <w:r>
        <w:t xml:space="preserve">maupun</w:t>
      </w:r>
      <w:r>
        <w:t xml:space="preserve"> </w:t>
      </w:r>
      <w:r>
        <w:rPr>
          <w:i/>
          <w:iCs/>
        </w:rPr>
        <w:t xml:space="preserve">greenfield</w:t>
      </w:r>
      <w:r>
        <w:t xml:space="preserve">, dengan keleluasaan kode ABAP penuh. GROW memakai Public Edition yang</w:t>
      </w:r>
      <w:r>
        <w:t xml:space="preserve"> </w:t>
      </w:r>
      <w:r>
        <w:rPr>
          <w:i/>
          <w:iCs/>
        </w:rPr>
        <w:t xml:space="preserve">multi-tenant</w:t>
      </w:r>
      <w:r>
        <w:t xml:space="preserve">, hanya mendukung</w:t>
      </w:r>
      <w:r>
        <w:t xml:space="preserve"> </w:t>
      </w:r>
      <w:r>
        <w:rPr>
          <w:i/>
          <w:iCs/>
        </w:rPr>
        <w:t xml:space="preserve">greenfield</w:t>
      </w:r>
      <w:r>
        <w:t xml:space="preserve"> </w:t>
      </w:r>
      <w:r>
        <w:t xml:space="preserve">(membangun dari standar), dan tidak mengizinkan ABAP kustom di dalam inti.</w:t>
      </w:r>
    </w:p>
    <w:p>
      <w:pPr>
        <w:pStyle w:val="BodyText"/>
      </w:pPr>
      <w:r>
        <w:t xml:space="preserve">Dua istilah ini layak diluruskan dulu.</w:t>
      </w:r>
      <w:r>
        <w:t xml:space="preserve"> </w:t>
      </w:r>
      <w:r>
        <w:rPr>
          <w:i/>
          <w:iCs/>
        </w:rPr>
        <w:t xml:space="preserve">Greenfield</w:t>
      </w:r>
      <w:r>
        <w:t xml:space="preserve"> </w:t>
      </w:r>
      <w:r>
        <w:t xml:space="preserve">berarti membangun sistem baru dari nol mengikuti proses standar SAP, yaitu pendekatan</w:t>
      </w:r>
      <w:r>
        <w:t xml:space="preserve"> </w:t>
      </w:r>
      <w:r>
        <w:rPr>
          <w:i/>
          <w:iCs/>
        </w:rPr>
        <w:t xml:space="preserve">fit-to-standard</w:t>
      </w:r>
      <w:r>
        <w:t xml:space="preserve"> </w:t>
      </w:r>
      <w:r>
        <w:t xml:space="preserve">yang menyesuaikan proses bisnis ke praktik bawaan SAP, bukan sebaliknya.</w:t>
      </w:r>
      <w:r>
        <w:t xml:space="preserve"> </w:t>
      </w:r>
      <w:r>
        <w:rPr>
          <w:i/>
          <w:iCs/>
        </w:rPr>
        <w:t xml:space="preserve">Brownfield</w:t>
      </w:r>
      <w:r>
        <w:t xml:space="preserve"> </w:t>
      </w:r>
      <w:r>
        <w:t xml:space="preserve">(</w:t>
      </w:r>
      <w:r>
        <w:rPr>
          <w:i/>
          <w:iCs/>
        </w:rPr>
        <w:t xml:space="preserve">system conversion</w:t>
      </w:r>
      <w:r>
        <w:t xml:space="preserve">) berarti mengonversi sistem SAP ECC yang sudah berjalan beserta konfigurasi dan datanya. GROW with SAP hanya mendukung jalur</w:t>
      </w:r>
      <w:r>
        <w:t xml:space="preserve"> </w:t>
      </w:r>
      <w:r>
        <w:rPr>
          <w:i/>
          <w:iCs/>
        </w:rPr>
        <w:t xml:space="preserve">greenfield</w:t>
      </w:r>
      <w:r>
        <w:t xml:space="preserve">; RISE with SAP / Private Edition mendukung keduanya. Menurut SAP Learning, inilah pembeda yang paling fundamental antara kedua program.</w:t>
      </w:r>
    </w:p>
    <w:p>
      <w:pPr>
        <w:pStyle w:val="BodyText"/>
      </w:pPr>
      <w:r>
        <w:t xml:space="preserve">Tabel berikut merangkum tujuh dimensi keputusan yang paling sering ditanyakan pembeli di Indonesia.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RISE with SAP (SAP Cloud ERP Private)</w:t>
            </w:r>
          </w:p>
        </w:tc>
        <w:tc>
          <w:tcPr/>
          <w:p>
            <w:pPr>
              <w:pStyle w:val="Compact"/>
            </w:pPr>
            <w:r>
              <w:t xml:space="preserve">GROW with SAP (SAP Cloud ERP)</w:t>
            </w:r>
          </w:p>
        </w:tc>
      </w:tr>
      <w:tr>
        <w:tc>
          <w:tcPr/>
          <w:p>
            <w:pPr>
              <w:pStyle w:val="Compact"/>
            </w:pPr>
            <w:r>
              <w:rPr>
                <w:b/>
                <w:bCs/>
              </w:rPr>
              <w:t xml:space="preserve">Target audiens</w:t>
            </w:r>
          </w:p>
        </w:tc>
        <w:tc>
          <w:tcPr/>
          <w:p>
            <w:pPr>
              <w:pStyle w:val="Compact"/>
            </w:pPr>
            <w:r>
              <w:t xml:space="preserve">Perusahaan SAP eksisting, lanskap kompleks, multi-entitas</w:t>
            </w:r>
          </w:p>
        </w:tc>
        <w:tc>
          <w:tcPr/>
          <w:p>
            <w:pPr>
              <w:pStyle w:val="Compact"/>
            </w:pPr>
            <w:r>
              <w:t xml:space="preserve">Perusahaan baru/menengah, ingin adopsi cepat</w:t>
            </w:r>
          </w:p>
        </w:tc>
      </w:tr>
      <w:tr>
        <w:tc>
          <w:tcPr/>
          <w:p>
            <w:pPr>
              <w:pStyle w:val="Compact"/>
            </w:pPr>
            <w:r>
              <w:rPr>
                <w:b/>
                <w:bCs/>
              </w:rPr>
              <w:t xml:space="preserve">Edisi cloud</w:t>
            </w:r>
          </w:p>
        </w:tc>
        <w:tc>
          <w:tcPr/>
          <w:p>
            <w:pPr>
              <w:pStyle w:val="Compact"/>
            </w:pPr>
            <w:r>
              <w:t xml:space="preserve">S/4HANA Cloud Private Edition (</w:t>
            </w:r>
            <w:r>
              <w:rPr>
                <w:i/>
                <w:iCs/>
              </w:rPr>
              <w:t xml:space="preserve">single-tenant</w:t>
            </w:r>
            <w:r>
              <w:t xml:space="preserve">)</w:t>
            </w:r>
          </w:p>
        </w:tc>
        <w:tc>
          <w:tcPr/>
          <w:p>
            <w:pPr>
              <w:pStyle w:val="Compact"/>
            </w:pPr>
            <w:r>
              <w:t xml:space="preserve">S/4HANA Cloud Public Edition (</w:t>
            </w:r>
            <w:r>
              <w:rPr>
                <w:i/>
                <w:iCs/>
              </w:rPr>
              <w:t xml:space="preserve">multi-tenant</w:t>
            </w:r>
            <w:r>
              <w:t xml:space="preserve">)</w:t>
            </w:r>
          </w:p>
        </w:tc>
      </w:tr>
      <w:tr>
        <w:tc>
          <w:tcPr/>
          <w:p>
            <w:pPr>
              <w:pStyle w:val="Compact"/>
            </w:pPr>
            <w:r>
              <w:rPr>
                <w:b/>
                <w:bCs/>
              </w:rPr>
              <w:t xml:space="preserve">Pendekatan migrasi</w:t>
            </w:r>
          </w:p>
        </w:tc>
        <w:tc>
          <w:tcPr/>
          <w:p>
            <w:pPr>
              <w:pStyle w:val="Compact"/>
            </w:pPr>
            <w:r>
              <w:rPr>
                <w:i/>
                <w:iCs/>
              </w:rPr>
              <w:t xml:space="preserve">Greenfield</w:t>
            </w:r>
            <w:r>
              <w:t xml:space="preserve"> </w:t>
            </w:r>
            <w:r>
              <w:t xml:space="preserve">+</w:t>
            </w:r>
            <w:r>
              <w:t xml:space="preserve"> </w:t>
            </w:r>
            <w:r>
              <w:rPr>
                <w:i/>
                <w:iCs/>
              </w:rPr>
              <w:t xml:space="preserve">brownfield</w:t>
            </w:r>
            <w:r>
              <w:t xml:space="preserve"> </w:t>
            </w:r>
            <w:r>
              <w:t xml:space="preserve">(</w:t>
            </w:r>
            <w:r>
              <w:rPr>
                <w:i/>
                <w:iCs/>
              </w:rPr>
              <w:t xml:space="preserve">system conversion</w:t>
            </w:r>
            <w:r>
              <w:t xml:space="preserve">)</w:t>
            </w:r>
          </w:p>
        </w:tc>
        <w:tc>
          <w:tcPr/>
          <w:p>
            <w:pPr>
              <w:pStyle w:val="Compact"/>
            </w:pPr>
            <w:r>
              <w:rPr>
                <w:i/>
                <w:iCs/>
              </w:rPr>
              <w:t xml:space="preserve">Greenfield</w:t>
            </w:r>
            <w:r>
              <w:t xml:space="preserve"> </w:t>
            </w:r>
            <w:r>
              <w:t xml:space="preserve">saja (</w:t>
            </w:r>
            <w:r>
              <w:rPr>
                <w:i/>
                <w:iCs/>
              </w:rPr>
              <w:t xml:space="preserve">fit-to-standard</w:t>
            </w:r>
            <w:r>
              <w:t xml:space="preserve">)</w:t>
            </w:r>
          </w:p>
        </w:tc>
      </w:tr>
      <w:tr>
        <w:tc>
          <w:tcPr/>
          <w:p>
            <w:pPr>
              <w:pStyle w:val="Compact"/>
            </w:pPr>
            <w:r>
              <w:rPr>
                <w:b/>
                <w:bCs/>
              </w:rPr>
              <w:t xml:space="preserve">Kustomisasi</w:t>
            </w:r>
          </w:p>
        </w:tc>
        <w:tc>
          <w:tcPr/>
          <w:p>
            <w:pPr>
              <w:pStyle w:val="Compact"/>
            </w:pPr>
            <w:r>
              <w:t xml:space="preserve">ABAP penuh +</w:t>
            </w:r>
            <w:r>
              <w:t xml:space="preserve"> </w:t>
            </w:r>
            <w:r>
              <w:rPr>
                <w:i/>
                <w:iCs/>
              </w:rPr>
              <w:t xml:space="preserve">key-user</w:t>
            </w:r>
            <w:r>
              <w:t xml:space="preserve"> </w:t>
            </w:r>
            <w:r>
              <w:t xml:space="preserve">+</w:t>
            </w:r>
            <w:r>
              <w:t xml:space="preserve"> </w:t>
            </w:r>
            <w:r>
              <w:rPr>
                <w:i/>
                <w:iCs/>
              </w:rPr>
              <w:t xml:space="preserve">side-by-side</w:t>
            </w:r>
            <w:r>
              <w:t xml:space="preserve"> </w:t>
            </w:r>
            <w:r>
              <w:t xml:space="preserve">di SAP BTP</w:t>
            </w:r>
          </w:p>
        </w:tc>
        <w:tc>
          <w:tcPr/>
          <w:p>
            <w:pPr>
              <w:pStyle w:val="Compact"/>
            </w:pPr>
            <w:r>
              <w:rPr>
                <w:i/>
                <w:iCs/>
              </w:rPr>
              <w:t xml:space="preserve">Key-user</w:t>
            </w:r>
            <w:r>
              <w:t xml:space="preserve"> </w:t>
            </w:r>
            <w:r>
              <w:t xml:space="preserve">+</w:t>
            </w:r>
            <w:r>
              <w:t xml:space="preserve"> </w:t>
            </w:r>
            <w:r>
              <w:rPr>
                <w:i/>
                <w:iCs/>
              </w:rPr>
              <w:t xml:space="preserve">side-by-side</w:t>
            </w:r>
            <w:r>
              <w:t xml:space="preserve"> </w:t>
            </w:r>
            <w:r>
              <w:t xml:space="preserve">di SAP BTP; tanpa ABAP kustom</w:t>
            </w:r>
          </w:p>
        </w:tc>
      </w:tr>
      <w:tr>
        <w:tc>
          <w:tcPr/>
          <w:p>
            <w:pPr>
              <w:pStyle w:val="Compact"/>
            </w:pPr>
            <w:r>
              <w:rPr>
                <w:b/>
                <w:bCs/>
              </w:rPr>
              <w:t xml:space="preserve">Siklus update</w:t>
            </w:r>
          </w:p>
        </w:tc>
        <w:tc>
          <w:tcPr/>
          <w:p>
            <w:pPr>
              <w:pStyle w:val="Compact"/>
            </w:pPr>
            <w:r>
              <w:t xml:space="preserve">Tahunan, dapat direncanakan</w:t>
            </w:r>
          </w:p>
        </w:tc>
        <w:tc>
          <w:tcPr/>
          <w:p>
            <w:pPr>
              <w:pStyle w:val="Compact"/>
            </w:pPr>
            <w:r>
              <w:t xml:space="preserve">Kuartalan, wajib, dikelola SAP</w:t>
            </w:r>
          </w:p>
        </w:tc>
      </w:tr>
      <w:tr>
        <w:tc>
          <w:tcPr/>
          <w:p>
            <w:pPr>
              <w:pStyle w:val="Compact"/>
            </w:pPr>
            <w:r>
              <w:rPr>
                <w:b/>
                <w:bCs/>
              </w:rPr>
              <w:t xml:space="preserve">Kecepatan go-live</w:t>
            </w:r>
          </w:p>
        </w:tc>
        <w:tc>
          <w:tcPr/>
          <w:p>
            <w:pPr>
              <w:pStyle w:val="Compact"/>
            </w:pPr>
            <w:r>
              <w:t xml:space="preserve">8–14 bulan untuk</w:t>
            </w:r>
            <w:r>
              <w:t xml:space="preserve"> </w:t>
            </w:r>
            <w:r>
              <w:rPr>
                <w:i/>
                <w:iCs/>
              </w:rPr>
              <w:t xml:space="preserve">brownfield</w:t>
            </w:r>
            <w:r>
              <w:t xml:space="preserve"> </w:t>
            </w:r>
            <w:r>
              <w:t xml:space="preserve">kompleks</w:t>
            </w:r>
          </w:p>
        </w:tc>
        <w:tc>
          <w:tcPr/>
          <w:p>
            <w:pPr>
              <w:pStyle w:val="Compact"/>
            </w:pPr>
            <w:r>
              <w:t xml:space="preserve">4 minggu (skenario minimal) hingga ~12–16 minggu (praktik umum)</w:t>
            </w:r>
          </w:p>
        </w:tc>
      </w:tr>
      <w:tr>
        <w:tc>
          <w:tcPr/>
          <w:p>
            <w:pPr>
              <w:pStyle w:val="Compact"/>
            </w:pPr>
            <w:r>
              <w:rPr>
                <w:b/>
                <w:bCs/>
              </w:rPr>
              <w:t xml:space="preserve">Bundel utama</w:t>
            </w:r>
          </w:p>
        </w:tc>
        <w:tc>
          <w:tcPr/>
          <w:p>
            <w:pPr>
              <w:pStyle w:val="Compact"/>
            </w:pPr>
            <w:r>
              <w:t xml:space="preserve">BTP credits + SAP Signavio + SAP Business Network</w:t>
            </w:r>
          </w:p>
        </w:tc>
        <w:tc>
          <w:tcPr/>
          <w:p>
            <w:pPr>
              <w:pStyle w:val="Compact"/>
            </w:pPr>
            <w:r>
              <w:t xml:space="preserve">BTP credits; Signavio &amp; Business Network di tier</w:t>
            </w:r>
            <w:r>
              <w:t xml:space="preserve"> </w:t>
            </w:r>
            <w:r>
              <w:rPr>
                <w:i/>
                <w:iCs/>
              </w:rPr>
              <w:t xml:space="preserve">premium</w:t>
            </w:r>
          </w:p>
        </w:tc>
      </w:tr>
    </w:tbl>
    <w:p>
      <w:pPr>
        <w:pStyle w:val="BodyText"/>
      </w:pPr>
      <w:r>
        <w:t xml:space="preserve">Soal komponen bundel, ada catatan penting. RISE umumnya menyertakan kredit SAP Business Technology Platform (BTP), yaitu platform untuk integrasi dan ekstensi, plus</w:t>
      </w:r>
      <w:r>
        <w:t xml:space="preserve"> </w:t>
      </w:r>
      <w:r>
        <w:rPr>
          <w:i/>
          <w:iCs/>
        </w:rPr>
        <w:t xml:space="preserve">starter pack</w:t>
      </w:r>
      <w:r>
        <w:t xml:space="preserve"> </w:t>
      </w:r>
      <w:r>
        <w:t xml:space="preserve">SAP Signavio untuk analisis proses bisnis, dan SAP Business Network. GROW tersedia dalam dua paket,</w:t>
      </w:r>
      <w:r>
        <w:t xml:space="preserve"> </w:t>
      </w:r>
      <w:r>
        <w:rPr>
          <w:i/>
          <w:iCs/>
        </w:rPr>
        <w:t xml:space="preserve">base</w:t>
      </w:r>
      <w:r>
        <w:t xml:space="preserve"> </w:t>
      </w:r>
      <w:r>
        <w:t xml:space="preserve">dan</w:t>
      </w:r>
      <w:r>
        <w:t xml:space="preserve"> </w:t>
      </w:r>
      <w:r>
        <w:rPr>
          <w:i/>
          <w:iCs/>
        </w:rPr>
        <w:t xml:space="preserve">premium</w:t>
      </w:r>
      <w:r>
        <w:t xml:space="preserve">, dengan Signavio menjadi pembeda di tier</w:t>
      </w:r>
      <w:r>
        <w:t xml:space="preserve"> </w:t>
      </w:r>
      <w:r>
        <w:rPr>
          <w:i/>
          <w:iCs/>
        </w:rPr>
        <w:t xml:space="preserve">premium</w:t>
      </w:r>
      <w:r>
        <w:t xml:space="preserve">. SAP melakukan</w:t>
      </w:r>
      <w:r>
        <w:t xml:space="preserve"> </w:t>
      </w:r>
      <w:r>
        <w:rPr>
          <w:i/>
          <w:iCs/>
        </w:rPr>
        <w:t xml:space="preserve">repackaging</w:t>
      </w:r>
      <w:r>
        <w:t xml:space="preserve"> </w:t>
      </w:r>
      <w:r>
        <w:t xml:space="preserve">signifikan pada pertengahan 2025, sehingga komponen pastinya bergeser dari satu periode ke periode lain. Konfirmasikan isi bundel terkini langsung ke SAP atau mitra implementasi sebelum tanda tangan kontrak.</w:t>
      </w:r>
    </w:p>
    <w:p>
      <w:pPr>
        <w:pStyle w:val="BodyText"/>
      </w:pPr>
      <w:r>
        <w:rPr>
          <w:i/>
          <w:iCs/>
        </w:rPr>
        <w:t xml:space="preserve">[Image 02: Flowchart sederhana dua jalur divergen dari satu titik awal</w:t>
      </w:r>
      <w:r>
        <w:rPr>
          <w:i/>
          <w:iCs/>
        </w:rPr>
        <w:t xml:space="preserve"> </w:t>
      </w:r>
      <w:r>
        <w:rPr>
          <w:i/>
          <w:iCs/>
        </w:rPr>
        <w:t xml:space="preserve">“Memutuskan Migrasi ERP ke Cloud”</w:t>
      </w:r>
      <w:r>
        <w:rPr>
          <w:i/>
          <w:iCs/>
        </w:rPr>
        <w:t xml:space="preserve"> </w:t>
      </w:r>
      <w:r>
        <w:rPr>
          <w:i/>
          <w:iCs/>
        </w:rPr>
        <w:t xml:space="preserve">— cabang kiri menuju RISE (enterprise, kompleks, brownfield) dan cabang kanan menuju GROW (menengah, baru, greenfield), tiap cabang menampilkan 3–4 milestone: penilaian kesiapan, pemilihan program, implementasi, go-live; warna biru untuk RISE, hijau untuk GROW, teks Bahasa Indonesia]</w:t>
      </w:r>
    </w:p>
    <w:bookmarkEnd w:id="20"/>
    <w:bookmarkStart w:id="21" w:name="X4733f4dd86d69a6b119ad0536e34b20a20b1439"/>
    <w:p>
      <w:pPr>
        <w:pStyle w:val="Heading2"/>
      </w:pPr>
      <w:r>
        <w:t xml:space="preserve">Perusahaan Seperti Apa yang Cocok dengan RISE, dan Mana yang Cocok dengan GROW?</w:t>
      </w:r>
    </w:p>
    <w:p>
      <w:pPr>
        <w:pStyle w:val="FirstParagraph"/>
      </w:pPr>
      <w:r>
        <w:t xml:space="preserve">RISE cocok untuk perusahaan yang sudah lama memakai SAP ECC dengan banyak kustomisasi, kebutuhan</w:t>
      </w:r>
      <w:r>
        <w:t xml:space="preserve"> </w:t>
      </w:r>
      <w:r>
        <w:rPr>
          <w:i/>
          <w:iCs/>
        </w:rPr>
        <w:t xml:space="preserve">compliance</w:t>
      </w:r>
      <w:r>
        <w:t xml:space="preserve"> </w:t>
      </w:r>
      <w:r>
        <w:t xml:space="preserve">ketat, atau operasi multi-negara, yakni profil yang menuntut kontrol infrastruktur dan jalur</w:t>
      </w:r>
      <w:r>
        <w:t xml:space="preserve"> </w:t>
      </w:r>
      <w:r>
        <w:rPr>
          <w:i/>
          <w:iCs/>
        </w:rPr>
        <w:t xml:space="preserve">brownfield</w:t>
      </w:r>
      <w:r>
        <w:t xml:space="preserve">. GROW cocok untuk perusahaan yang belum pernah memakai SAP dan ingin mengadopsi praktik standar secara cepat tanpa beban kode warisan. Singkatnya: kompleksitas eksisting mendorong ke RISE, kebutuhan kecepatan dari titik nol mendorong ke GROW.</w:t>
      </w:r>
    </w:p>
    <w:p>
      <w:pPr>
        <w:pStyle w:val="BodyText"/>
      </w:pPr>
      <w:r>
        <w:t xml:space="preserve">Bayangkan dua perusahaan. Yang pertama, manufaktur dengan SAP ECC berusia belasan tahun, ratusan kustomisasi, dan pabrik di beberapa negara. Memaksa proses-prosesnya masuk ke</w:t>
      </w:r>
      <w:r>
        <w:t xml:space="preserve"> </w:t>
      </w:r>
      <w:r>
        <w:rPr>
          <w:i/>
          <w:iCs/>
        </w:rPr>
        <w:t xml:space="preserve">fit-to-standard</w:t>
      </w:r>
      <w:r>
        <w:t xml:space="preserve"> </w:t>
      </w:r>
      <w:r>
        <w:t xml:space="preserve">Public Edition berarti merombak ulang logika bisnis yang sudah teruji, dengan risiko dan biaya</w:t>
      </w:r>
      <w:r>
        <w:t xml:space="preserve"> </w:t>
      </w:r>
      <w:r>
        <w:rPr>
          <w:i/>
          <w:iCs/>
        </w:rPr>
        <w:t xml:space="preserve">re-engineering</w:t>
      </w:r>
      <w:r>
        <w:t xml:space="preserve"> </w:t>
      </w:r>
      <w:r>
        <w:t xml:space="preserve">yang tinggi. Profil ini cenderung lebih pas dengan RISE Private Edition, bukan semata karena</w:t>
      </w:r>
      <w:r>
        <w:t xml:space="preserve"> </w:t>
      </w:r>
      <w:r>
        <w:rPr>
          <w:i/>
          <w:iCs/>
        </w:rPr>
        <w:t xml:space="preserve">brownfield</w:t>
      </w:r>
      <w:r>
        <w:t xml:space="preserve">, tetapi karena butuh kontrol dan integrasi yang dalam.</w:t>
      </w:r>
    </w:p>
    <w:p>
      <w:pPr>
        <w:pStyle w:val="BodyText"/>
      </w:pPr>
      <w:r>
        <w:t xml:space="preserve">Yang kedua, perusahaan distribusi yang tumbuh cepat dan selama ini bergantung pada gabungan</w:t>
      </w:r>
      <w:r>
        <w:t xml:space="preserve"> </w:t>
      </w:r>
      <w:r>
        <w:rPr>
          <w:i/>
          <w:iCs/>
        </w:rPr>
        <w:t xml:space="preserve">spreadsheet</w:t>
      </w:r>
      <w:r>
        <w:t xml:space="preserve"> </w:t>
      </w:r>
      <w:r>
        <w:t xml:space="preserve">serta aplikasi terpisah. Tanpa kode warisan SAP yang harus dipertahankan, perusahaan ini justru diuntungkan oleh standar bawaan SAP: implementasi lebih ringkas dan biaya lebih rendah. GROW with SAP umumnya menjadi titik awal yang masuk akal di sini.</w:t>
      </w:r>
    </w:p>
    <w:p>
      <w:pPr>
        <w:pStyle w:val="BodyText"/>
      </w:pPr>
      <w:r>
        <w:t xml:space="preserve">Adopsi cloud ERP di kalangan pengguna SAP juga sudah melewati titik balik. Menurut SAPinsider Benchmark Report 2025 (dikutip ERP Today), 30% organisasi sudah sepenuhnya</w:t>
      </w:r>
      <w:r>
        <w:t xml:space="preserve"> </w:t>
      </w:r>
      <w:r>
        <w:rPr>
          <w:i/>
          <w:iCs/>
        </w:rPr>
        <w:t xml:space="preserve">live</w:t>
      </w:r>
      <w:r>
        <w:t xml:space="preserve"> </w:t>
      </w:r>
      <w:r>
        <w:t xml:space="preserve">di S/4HANA Cloud Private Edition, naik dari 19% setahun sebelumnya, dan untuk pertama kalinya pemakai ECC/Business Suite warisan turun di bawah 50% responden. Survei ini melibatkan 122 profesional SAP, jadi perlakukan sebagai indikator arah, bukan angka populasi.</w:t>
      </w:r>
    </w:p>
    <w:bookmarkEnd w:id="21"/>
    <w:bookmarkStart w:id="23" w:name="Xc543ee5bf500acb8b1d9b225b3ab3b26ff571e9"/>
    <w:p>
      <w:pPr>
        <w:pStyle w:val="Heading2"/>
      </w:pPr>
      <w:r>
        <w:t xml:space="preserve">Bagaimana Pilihan Ini Memengaruhi Kustomisasi, Kecepatan, dan Biaya?</w:t>
      </w:r>
    </w:p>
    <w:p>
      <w:pPr>
        <w:pStyle w:val="FirstParagraph"/>
      </w:pPr>
      <w:r>
        <w:t xml:space="preserve">Pilihan jalur menentukan tiga</w:t>
      </w:r>
      <w:r>
        <w:t xml:space="preserve"> </w:t>
      </w:r>
      <w:r>
        <w:rPr>
          <w:i/>
          <w:iCs/>
        </w:rPr>
        <w:t xml:space="preserve">trade-off</w:t>
      </w:r>
      <w:r>
        <w:t xml:space="preserve"> </w:t>
      </w:r>
      <w:r>
        <w:t xml:space="preserve">sekaligus. Public Edition (GROW) memberi</w:t>
      </w:r>
      <w:r>
        <w:t xml:space="preserve"> </w:t>
      </w:r>
      <w:r>
        <w:rPr>
          <w:i/>
          <w:iCs/>
        </w:rPr>
        <w:t xml:space="preserve">go-live</w:t>
      </w:r>
      <w:r>
        <w:t xml:space="preserve"> </w:t>
      </w:r>
      <w:r>
        <w:t xml:space="preserve">lebih cepat dan TCO lebih rendah, tetapi menuntut kepatuhan penuh ke standar SAP dan</w:t>
      </w:r>
      <w:r>
        <w:t xml:space="preserve"> </w:t>
      </w:r>
      <w:r>
        <w:rPr>
          <w:i/>
          <w:iCs/>
        </w:rPr>
        <w:t xml:space="preserve">update</w:t>
      </w:r>
      <w:r>
        <w:t xml:space="preserve"> </w:t>
      </w:r>
      <w:r>
        <w:t xml:space="preserve">kuartalan yang wajib. Private Edition (RISE) memberi keleluasaan kustomisasi serta</w:t>
      </w:r>
      <w:r>
        <w:t xml:space="preserve"> </w:t>
      </w:r>
      <w:r>
        <w:rPr>
          <w:i/>
          <w:iCs/>
        </w:rPr>
        <w:t xml:space="preserve">update</w:t>
      </w:r>
      <w:r>
        <w:t xml:space="preserve"> </w:t>
      </w:r>
      <w:r>
        <w:t xml:space="preserve">tahunan yang bisa direncanakan, tetapi dengan biaya dan durasi implementasi yang lebih besar. Tidak ada yang</w:t>
      </w:r>
      <w:r>
        <w:t xml:space="preserve"> </w:t>
      </w:r>
      <w:r>
        <w:t xml:space="preserve">“lebih unggul”</w:t>
      </w:r>
      <w:r>
        <w:t xml:space="preserve"> </w:t>
      </w:r>
      <w:r>
        <w:t xml:space="preserve">— yang ada adalah yang lebih sesuai profil.</w:t>
      </w:r>
    </w:p>
    <w:p>
      <w:pPr>
        <w:pStyle w:val="BodyText"/>
      </w:pPr>
      <w:r>
        <w:t xml:space="preserve">Soal kecepatan, angka</w:t>
      </w:r>
      <w:r>
        <w:t xml:space="preserve"> </w:t>
      </w:r>
      <w:r>
        <w:t xml:space="preserve">“go-live secepat empat minggu”</w:t>
      </w:r>
      <w:r>
        <w:t xml:space="preserve"> </w:t>
      </w:r>
      <w:r>
        <w:t xml:space="preserve">untuk GROW memang berasal dari SAP Learning, tetapi berlaku hanya untuk skenario minimal: satu entitas, satu negara, cakupan standar terbatas, dan data yang sudah bersih. Dalam praktik nyata, program SAP GROW Fast menargetkan gelombang pertama sekitar 12 minggu, dan umumnya mendekati 16 minggu bila kesiapan pelanggan diperhitungkan. Perlakukan empat minggu sebagai</w:t>
      </w:r>
      <w:r>
        <w:t xml:space="preserve"> </w:t>
      </w:r>
      <w:r>
        <w:rPr>
          <w:i/>
          <w:iCs/>
        </w:rPr>
        <w:t xml:space="preserve">lantai</w:t>
      </w:r>
      <w:r>
        <w:t xml:space="preserve"> </w:t>
      </w:r>
      <w:r>
        <w:t xml:space="preserve">pemasaran, bukan patokan perencanaan proyek.</w:t>
      </w:r>
    </w:p>
    <w:p>
      <w:pPr>
        <w:pStyle w:val="BodyText"/>
      </w:pPr>
      <w:r>
        <w:t xml:space="preserve">Soal biaya, hindari kesimpulan terburu-buru bahwa GROW selalu lebih murah. Estimasi yang dikumpulkan dari praktisi implementasi menempatkan biaya Private Edition secara signifikan lebih tinggi dari Public Edition untuk cakupan yang sebanding, dan perlu dicatat bahwa SAP sendiri tidak menerbitkan harga resmi. Namun perusahaan dengan ratusan kustomisasi ECC kerap menemukan biaya</w:t>
      </w:r>
      <w:r>
        <w:t xml:space="preserve"> </w:t>
      </w:r>
      <w:r>
        <w:rPr>
          <w:i/>
          <w:iCs/>
        </w:rPr>
        <w:t xml:space="preserve">re-engineering</w:t>
      </w:r>
      <w:r>
        <w:t xml:space="preserve"> </w:t>
      </w:r>
      <w:r>
        <w:t xml:space="preserve">ke GROW justru lebih besar daripada tetap di RISE. Karena itu, penilaian kesiapan bersama mitra implementasi sebaiknya mendahului perbandingan biaya, bukan sesudahnya.</w:t>
      </w:r>
    </w:p>
    <w:p>
      <w:pPr>
        <w:pStyle w:val="BodyText"/>
      </w:pPr>
      <w:r>
        <w:t xml:space="preserve">Di sinilah prinsip</w:t>
      </w:r>
      <w:r>
        <w:t xml:space="preserve"> </w:t>
      </w:r>
      <w:hyperlink r:id="rId22">
        <w:r>
          <w:rPr>
            <w:rStyle w:val="Hyperlink"/>
          </w:rPr>
          <w:t xml:space="preserve">SAP Clean Core</w:t>
        </w:r>
      </w:hyperlink>
      <w:r>
        <w:t xml:space="preserve"> </w:t>
      </w:r>
      <w:r>
        <w:t xml:space="preserve">menjadi penentu jangka panjang. Inti gagasannya: jaga inti S/4HANA tetap standar dan pindahkan kustomisasi ke luar inti (umumnya ke SAP BTP) agar sistem mudah di-</w:t>
      </w:r>
      <w:r>
        <w:rPr>
          <w:i/>
          <w:iCs/>
        </w:rPr>
        <w:t xml:space="preserve">upgrade</w:t>
      </w:r>
      <w:r>
        <w:t xml:space="preserve">. Pada Public Edition, prinsip ini ditegakkan secara arsitektur karena tidak ada ABAP kustom di dalam. Pada Private Edition, kebebasan ABAP-nya lebih besar, sehingga disiplin</w:t>
      </w:r>
      <w:r>
        <w:t xml:space="preserve"> </w:t>
      </w:r>
      <w:r>
        <w:rPr>
          <w:i/>
          <w:iCs/>
        </w:rPr>
        <w:t xml:space="preserve">clean core</w:t>
      </w:r>
      <w:r>
        <w:t xml:space="preserve"> </w:t>
      </w:r>
      <w:r>
        <w:t xml:space="preserve">menjadi tanggung jawab tim dan mitra, bukan otomatis dijamin sistem. SAP bahkan memformalkan kerangka klasifikasi level A–D pada Agustus 2025 untuk menilai risiko</w:t>
      </w:r>
      <w:r>
        <w:t xml:space="preserve"> </w:t>
      </w:r>
      <w:r>
        <w:rPr>
          <w:i/>
          <w:iCs/>
        </w:rPr>
        <w:t xml:space="preserve">upgrade</w:t>
      </w:r>
      <w:r>
        <w:t xml:space="preserve"> </w:t>
      </w:r>
      <w:r>
        <w:t xml:space="preserve">tiap ekstensi.</w:t>
      </w:r>
    </w:p>
    <w:bookmarkEnd w:id="23"/>
    <w:bookmarkStart w:id="24" w:name="Xa3f8ce5e9ea7f51df406ea99178039f7b6ff351"/>
    <w:p>
      <w:pPr>
        <w:pStyle w:val="Heading2"/>
      </w:pPr>
      <w:r>
        <w:t xml:space="preserve">Kapan RISE atau GROW BELUM Tentu Jalur Termudah Anda</w:t>
      </w:r>
    </w:p>
    <w:p>
      <w:pPr>
        <w:pStyle w:val="FirstParagraph"/>
      </w:pPr>
      <w:r>
        <w:t xml:space="preserve">Tidak setiap perusahaan yang merasa</w:t>
      </w:r>
      <w:r>
        <w:t xml:space="preserve"> </w:t>
      </w:r>
      <w:r>
        <w:t xml:space="preserve">“harus pindah ke cloud”</w:t>
      </w:r>
      <w:r>
        <w:t xml:space="preserve"> </w:t>
      </w:r>
      <w:r>
        <w:t xml:space="preserve">otomatis cocok dengan RISE atau GROW. Keduanya dirancang untuk skala</w:t>
      </w:r>
      <w:r>
        <w:t xml:space="preserve"> </w:t>
      </w:r>
      <w:r>
        <w:rPr>
          <w:i/>
          <w:iCs/>
        </w:rPr>
        <w:t xml:space="preserve">enterprise</w:t>
      </w:r>
      <w:r>
        <w:t xml:space="preserve">. Perusahaan kecil dengan proses sederhana sering kali mendapat nilai lebih dari SAP Business One, dan organisasi yang data serta prosesnya belum tertata sebaiknya menyelesaikan penilaian kesiapan dulu sebelum memilih program apa pun.</w:t>
      </w:r>
    </w:p>
    <w:p>
      <w:pPr>
        <w:pStyle w:val="BodyText"/>
      </w:pPr>
      <w:r>
        <w:t xml:space="preserve">Bagian ini jarang ditulis kompetitor, padahal di sinilah kejujuran membangun kepercayaan. Memaksakan program kelas</w:t>
      </w:r>
      <w:r>
        <w:t xml:space="preserve"> </w:t>
      </w:r>
      <w:r>
        <w:rPr>
          <w:i/>
          <w:iCs/>
        </w:rPr>
        <w:t xml:space="preserve">enterprise</w:t>
      </w:r>
      <w:r>
        <w:t xml:space="preserve"> </w:t>
      </w:r>
      <w:r>
        <w:t xml:space="preserve">ke perusahaan yang belum membutuhkannya menghasilkan biaya dan kerumitan yang tidak sebanding. Untuk usaha dengan omzet di bawah ambang</w:t>
      </w:r>
      <w:r>
        <w:t xml:space="preserve"> </w:t>
      </w:r>
      <w:r>
        <w:rPr>
          <w:i/>
          <w:iCs/>
        </w:rPr>
        <w:t xml:space="preserve">enterprise</w:t>
      </w:r>
      <w:r>
        <w:t xml:space="preserve">, proses relatif standar, dan belum ada kebutuhan multi-entitas mendesak, SAP Business One adalah titik awal yang lebih realistis dan tetap berada dalam keluarga SAP.</w:t>
      </w:r>
    </w:p>
    <w:p>
      <w:pPr>
        <w:pStyle w:val="BodyText"/>
      </w:pPr>
      <w:r>
        <w:t xml:space="preserve">Pemicu keputusan yang nyata justru sering datang dari tenggat dukungan. Berdasarkan SAP Support Portal,</w:t>
      </w:r>
      <w:r>
        <w:t xml:space="preserve"> </w:t>
      </w:r>
      <w:r>
        <w:rPr>
          <w:i/>
          <w:iCs/>
        </w:rPr>
        <w:t xml:space="preserve">mainstream maintenance</w:t>
      </w:r>
      <w:r>
        <w:t xml:space="preserve"> </w:t>
      </w:r>
      <w:r>
        <w:t xml:space="preserve">untuk SAP ECC (Business Suite 7 dengan Enhancement Package 6, 7, atau 8) berakhir</w:t>
      </w:r>
      <w:r>
        <w:t xml:space="preserve"> </w:t>
      </w:r>
      <w:r>
        <w:rPr>
          <w:b/>
          <w:bCs/>
        </w:rPr>
        <w:t xml:space="preserve">31 Desember 2027</w:t>
      </w:r>
      <w:r>
        <w:t xml:space="preserve">.</w:t>
      </w:r>
      <w:r>
        <w:t xml:space="preserve"> </w:t>
      </w:r>
      <w:r>
        <w:rPr>
          <w:i/>
          <w:iCs/>
        </w:rPr>
        <w:t xml:space="preserve">Extended maintenance</w:t>
      </w:r>
      <w:r>
        <w:t xml:space="preserve"> </w:t>
      </w:r>
      <w:r>
        <w:t xml:space="preserve">berbayar dengan premi tambahan dua persen poin tersedia hingga akhir 2030. Ini bukan alasan untuk menunda; justru jendela perencanaan yang tersisa menjadi lebih pendek.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Periode</w:t>
            </w:r>
          </w:p>
        </w:tc>
        <w:tc>
          <w:tcPr/>
          <w:p>
            <w:pPr>
              <w:pStyle w:val="Compact"/>
            </w:pPr>
            <w:r>
              <w:t xml:space="preserve">Status</w:t>
            </w:r>
          </w:p>
        </w:tc>
        <w:tc>
          <w:tcPr/>
          <w:p>
            <w:pPr>
              <w:pStyle w:val="Compact"/>
            </w:pPr>
            <w:r>
              <w:t xml:space="preserve">Catatan</w:t>
            </w:r>
          </w:p>
        </w:tc>
      </w:tr>
      <w:tr>
        <w:tc>
          <w:tcPr/>
          <w:p>
            <w:pPr>
              <w:pStyle w:val="Compact"/>
            </w:pPr>
            <w:r>
              <w:t xml:space="preserve">Hingga 31 Des 2027</w:t>
            </w:r>
          </w:p>
        </w:tc>
        <w:tc>
          <w:tcPr/>
          <w:p>
            <w:pPr>
              <w:pStyle w:val="Compact"/>
            </w:pPr>
            <w:r>
              <w:rPr>
                <w:i/>
                <w:iCs/>
              </w:rPr>
              <w:t xml:space="preserve">Mainstream maintenance</w:t>
            </w:r>
          </w:p>
        </w:tc>
        <w:tc>
          <w:tcPr/>
          <w:p>
            <w:pPr>
              <w:pStyle w:val="Compact"/>
            </w:pPr>
            <w:r>
              <w:t xml:space="preserve">Untuk ERP 6.0 EhP 6, 7, 8</w:t>
            </w:r>
          </w:p>
        </w:tc>
      </w:tr>
      <w:tr>
        <w:tc>
          <w:tcPr/>
          <w:p>
            <w:pPr>
              <w:pStyle w:val="Compact"/>
            </w:pPr>
            <w:r>
              <w:t xml:space="preserve">2028–2030</w:t>
            </w:r>
          </w:p>
        </w:tc>
        <w:tc>
          <w:tcPr/>
          <w:p>
            <w:pPr>
              <w:pStyle w:val="Compact"/>
            </w:pPr>
            <w:r>
              <w:rPr>
                <w:i/>
                <w:iCs/>
              </w:rPr>
              <w:t xml:space="preserve">Extended maintenance</w:t>
            </w:r>
            <w:r>
              <w:t xml:space="preserve"> </w:t>
            </w:r>
            <w:r>
              <w:t xml:space="preserve">(+2% premi)</w:t>
            </w:r>
          </w:p>
        </w:tc>
        <w:tc>
          <w:tcPr/>
          <w:p>
            <w:pPr>
              <w:pStyle w:val="Compact"/>
            </w:pPr>
            <w:r>
              <w:t xml:space="preserve">Opsional, berbayar tambahan</w:t>
            </w:r>
          </w:p>
        </w:tc>
      </w:tr>
      <w:tr>
        <w:tc>
          <w:tcPr/>
          <w:p>
            <w:pPr>
              <w:pStyle w:val="Compact"/>
            </w:pPr>
            <w:r>
              <w:t xml:space="preserve">2031–2033</w:t>
            </w:r>
          </w:p>
        </w:tc>
        <w:tc>
          <w:tcPr/>
          <w:p>
            <w:pPr>
              <w:pStyle w:val="Compact"/>
            </w:pPr>
            <w:r>
              <w:t xml:space="preserve">SAP ERP, private edition, transition option</w:t>
            </w:r>
          </w:p>
        </w:tc>
        <w:tc>
          <w:tcPr/>
          <w:p>
            <w:pPr>
              <w:pStyle w:val="Compact"/>
            </w:pPr>
            <w:r>
              <w:t xml:space="preserve">Langganan cloud baru, bukan perpanjangan on-premise</w:t>
            </w:r>
          </w:p>
        </w:tc>
      </w:tr>
    </w:tbl>
    <w:p>
      <w:pPr>
        <w:pStyle w:val="BodyText"/>
      </w:pPr>
      <w:r>
        <w:t xml:space="preserve">Satu poin yang sering disalahpahami: opsi</w:t>
      </w:r>
      <w:r>
        <w:t xml:space="preserve"> </w:t>
      </w:r>
      <w:r>
        <w:t xml:space="preserve">“SAP ERP, private edition, transition option”</w:t>
      </w:r>
      <w:r>
        <w:t xml:space="preserve"> </w:t>
      </w:r>
      <w:r>
        <w:t xml:space="preserve">untuk 2031–2033 bukan perpanjangan dukungan ECC</w:t>
      </w:r>
      <w:r>
        <w:t xml:space="preserve"> </w:t>
      </w:r>
      <w:r>
        <w:rPr>
          <w:i/>
          <w:iCs/>
        </w:rPr>
        <w:t xml:space="preserve">on-premise</w:t>
      </w:r>
      <w:r>
        <w:t xml:space="preserve">. Menurut SAP News (Februari 2025), ini adalah langganan cloud baru bagi pelanggan dengan lanskap sangat kompleks yang sudah beralih ke</w:t>
      </w:r>
      <w:r>
        <w:t xml:space="preserve"> </w:t>
      </w:r>
      <w:r>
        <w:t xml:space="preserve">“SAP ERP, private edition”</w:t>
      </w:r>
      <w:r>
        <w:t xml:space="preserve"> </w:t>
      </w:r>
      <w:r>
        <w:t xml:space="preserve">sebelum akhir 2030, bukan jalan pintas untuk menunda migrasi.</w:t>
      </w:r>
    </w:p>
    <w:bookmarkEnd w:id="24"/>
    <w:bookmarkStart w:id="32" w:name="faq-pertanyaan-yang-sering-diajukan"/>
    <w:p>
      <w:pPr>
        <w:pStyle w:val="Heading2"/>
      </w:pPr>
      <w:r>
        <w:t xml:space="preserve">FAQ (Pertanyaan yang Sering Diajukan)</w:t>
      </w:r>
    </w:p>
    <w:bookmarkStart w:id="25" w:name="X5d2bcd62f338b9f507fc0c4a664a12f42d92efa"/>
    <w:p>
      <w:pPr>
        <w:pStyle w:val="Heading3"/>
      </w:pPr>
      <w:r>
        <w:t xml:space="preserve">Apa perbedaan utama antara RISE with SAP dan GROW with SAP?</w:t>
      </w:r>
    </w:p>
    <w:p>
      <w:pPr>
        <w:pStyle w:val="FirstParagraph"/>
      </w:pPr>
      <w:r>
        <w:t xml:space="preserve">RISE with SAP adalah program transformasi cloud untuk perusahaan dengan sistem SAP eksisting yang kompleks; berjalan di SAP S/4HANA Cloud Private Edition (</w:t>
      </w:r>
      <w:r>
        <w:rPr>
          <w:i/>
          <w:iCs/>
        </w:rPr>
        <w:t xml:space="preserve">single-tenant</w:t>
      </w:r>
      <w:r>
        <w:t xml:space="preserve">) dan mendukung</w:t>
      </w:r>
      <w:r>
        <w:t xml:space="preserve"> </w:t>
      </w:r>
      <w:r>
        <w:rPr>
          <w:i/>
          <w:iCs/>
        </w:rPr>
        <w:t xml:space="preserve">brownfield</w:t>
      </w:r>
      <w:r>
        <w:t xml:space="preserve"> </w:t>
      </w:r>
      <w:r>
        <w:t xml:space="preserve">maupun</w:t>
      </w:r>
      <w:r>
        <w:t xml:space="preserve"> </w:t>
      </w:r>
      <w:r>
        <w:rPr>
          <w:i/>
          <w:iCs/>
        </w:rPr>
        <w:t xml:space="preserve">greenfield</w:t>
      </w:r>
      <w:r>
        <w:t xml:space="preserve">. GROW with SAP ditujukan untuk perusahaan baru atau menengah yang ingin adopsi cloud ERP cepat berbasis standar; memakai Public Edition (</w:t>
      </w:r>
      <w:r>
        <w:rPr>
          <w:i/>
          <w:iCs/>
        </w:rPr>
        <w:t xml:space="preserve">multi-tenant</w:t>
      </w:r>
      <w:r>
        <w:t xml:space="preserve">) dan hanya mendukung</w:t>
      </w:r>
      <w:r>
        <w:t xml:space="preserve"> </w:t>
      </w:r>
      <w:r>
        <w:rPr>
          <w:i/>
          <w:iCs/>
        </w:rPr>
        <w:t xml:space="preserve">greenfield</w:t>
      </w:r>
      <w:r>
        <w:t xml:space="preserve">.</w:t>
      </w:r>
    </w:p>
    <w:bookmarkEnd w:id="25"/>
    <w:bookmarkStart w:id="26" w:name="X7c34f0ccaeeed5c06e8b5b0699178f63812979f"/>
    <w:p>
      <w:pPr>
        <w:pStyle w:val="Heading3"/>
      </w:pPr>
      <w:r>
        <w:t xml:space="preserve">Apakah GROW with SAP hanya untuk cloud publik?</w:t>
      </w:r>
    </w:p>
    <w:p>
      <w:pPr>
        <w:pStyle w:val="FirstParagraph"/>
      </w:pPr>
      <w:r>
        <w:t xml:space="preserve">Ya. GROW with SAP secara eksklusif memakai SAP S/4HANA Cloud Public Edition, yaitu lingkungan</w:t>
      </w:r>
      <w:r>
        <w:t xml:space="preserve"> </w:t>
      </w:r>
      <w:r>
        <w:rPr>
          <w:i/>
          <w:iCs/>
        </w:rPr>
        <w:t xml:space="preserve">multi-tenant</w:t>
      </w:r>
      <w:r>
        <w:t xml:space="preserve"> </w:t>
      </w:r>
      <w:r>
        <w:t xml:space="preserve">yang dikelola penuh oleh SAP dan diperbarui tiap kuartal. Perusahaan tidak dapat membawa kode ABAP kustom ke dalam sistem ini; semua kustomisasi lewat</w:t>
      </w:r>
      <w:r>
        <w:t xml:space="preserve"> </w:t>
      </w:r>
      <w:r>
        <w:rPr>
          <w:i/>
          <w:iCs/>
        </w:rPr>
        <w:t xml:space="preserve">key-user extensibility</w:t>
      </w:r>
      <w:r>
        <w:t xml:space="preserve"> </w:t>
      </w:r>
      <w:r>
        <w:t xml:space="preserve">dan</w:t>
      </w:r>
      <w:r>
        <w:t xml:space="preserve"> </w:t>
      </w:r>
      <w:r>
        <w:rPr>
          <w:i/>
          <w:iCs/>
        </w:rPr>
        <w:t xml:space="preserve">side-by-side extension</w:t>
      </w:r>
      <w:r>
        <w:t xml:space="preserve"> </w:t>
      </w:r>
      <w:r>
        <w:t xml:space="preserve">di SAP BTP. Jika butuh kontrol lebih atau infrastruktur</w:t>
      </w:r>
      <w:r>
        <w:t xml:space="preserve"> </w:t>
      </w:r>
      <w:r>
        <w:rPr>
          <w:i/>
          <w:iCs/>
        </w:rPr>
        <w:t xml:space="preserve">single-tenant</w:t>
      </w:r>
      <w:r>
        <w:t xml:space="preserve">, jalur yang tepat adalah RISE with SAP.</w:t>
      </w:r>
    </w:p>
    <w:bookmarkEnd w:id="26"/>
    <w:bookmarkStart w:id="27" w:name="berapa-lama-go-live-dengan-grow-with-sap"/>
    <w:p>
      <w:pPr>
        <w:pStyle w:val="Heading3"/>
      </w:pPr>
      <w:r>
        <w:t xml:space="preserve">Berapa lama go-live dengan GROW with SAP?</w:t>
      </w:r>
    </w:p>
    <w:p>
      <w:pPr>
        <w:pStyle w:val="FirstParagraph"/>
      </w:pPr>
      <w:r>
        <w:t xml:space="preserve">SAP menyebut</w:t>
      </w:r>
      <w:r>
        <w:t xml:space="preserve"> </w:t>
      </w:r>
      <w:r>
        <w:rPr>
          <w:i/>
          <w:iCs/>
        </w:rPr>
        <w:t xml:space="preserve">go-live</w:t>
      </w:r>
      <w:r>
        <w:t xml:space="preserve"> </w:t>
      </w:r>
      <w:r>
        <w:t xml:space="preserve">GROW bisa secepat empat minggu, tetapi hanya untuk satu entitas, satu negara, cakupan terbatas, dan data yang sudah bersih. Dalam praktik yang lebih umum, program SAP GROW Fast menargetkan gelombang pertama sekitar 12 minggu, dan rata-rata 16 minggu jika kesiapan pelanggan diperhitungkan. Cakupan lebih luas atau data belum siap menuntut penyesuaian ekspektasi.</w:t>
      </w:r>
    </w:p>
    <w:bookmarkEnd w:id="27"/>
    <w:bookmarkStart w:id="28" w:name="X84496a2523d03fe11e281f5fe5f1e08480ba1d4"/>
    <w:p>
      <w:pPr>
        <w:pStyle w:val="Heading3"/>
      </w:pPr>
      <w:r>
        <w:t xml:space="preserve">Apakah RISE with SAP termasuk SAP BTP dan SAP Signavio?</w:t>
      </w:r>
    </w:p>
    <w:p>
      <w:pPr>
        <w:pStyle w:val="FirstParagraph"/>
      </w:pPr>
      <w:r>
        <w:t xml:space="preserve">Ya, RISE umumnya menyertakan kredit SAP Business Technology Platform (BTP) dan</w:t>
      </w:r>
      <w:r>
        <w:t xml:space="preserve"> </w:t>
      </w:r>
      <w:r>
        <w:rPr>
          <w:i/>
          <w:iCs/>
        </w:rPr>
        <w:t xml:space="preserve">starter pack</w:t>
      </w:r>
      <w:r>
        <w:t xml:space="preserve"> </w:t>
      </w:r>
      <w:r>
        <w:t xml:space="preserve">SAP Signavio untuk transformasi proses bisnis, terutama di tier Premium/SAP Cloud ERP Private. Komponen bundel berubah seiring</w:t>
      </w:r>
      <w:r>
        <w:t xml:space="preserve"> </w:t>
      </w:r>
      <w:r>
        <w:rPr>
          <w:i/>
          <w:iCs/>
        </w:rPr>
        <w:t xml:space="preserve">repackaging</w:t>
      </w:r>
      <w:r>
        <w:t xml:space="preserve"> </w:t>
      </w:r>
      <w:r>
        <w:t xml:space="preserve">SAP pada pertengahan 2025, jadi konfirmasikan isi terkini langsung ke SAP atau mitra implementasi sebelum membuat keputusan kontraktual.</w:t>
      </w:r>
    </w:p>
    <w:bookmarkEnd w:id="28"/>
    <w:bookmarkStart w:id="29" w:name="X9065c6a7d497de7b5d46f74753376d2674679a7"/>
    <w:p>
      <w:pPr>
        <w:pStyle w:val="Heading3"/>
      </w:pPr>
      <w:r>
        <w:t xml:space="preserve">Bisakah perusahaan berpindah dari GROW ke RISE setelah go-live?</w:t>
      </w:r>
    </w:p>
    <w:p>
      <w:pPr>
        <w:pStyle w:val="FirstParagraph"/>
      </w:pPr>
      <w:r>
        <w:t xml:space="preserve">Per Juni 2026, SAP tidak mendokumentasikan jalur</w:t>
      </w:r>
      <w:r>
        <w:t xml:space="preserve"> </w:t>
      </w:r>
      <w:r>
        <w:rPr>
          <w:i/>
          <w:iCs/>
        </w:rPr>
        <w:t xml:space="preserve">upgrade</w:t>
      </w:r>
      <w:r>
        <w:t xml:space="preserve"> </w:t>
      </w:r>
      <w:r>
        <w:t xml:space="preserve">formal dari GROW ke RISE secara publik. Secara teknis, pindah dari Public ke Private Edition berarti perubahan arsitektur signifikan (</w:t>
      </w:r>
      <w:r>
        <w:rPr>
          <w:i/>
          <w:iCs/>
        </w:rPr>
        <w:t xml:space="preserve">multi-tenant</w:t>
      </w:r>
      <w:r>
        <w:t xml:space="preserve"> </w:t>
      </w:r>
      <w:r>
        <w:t xml:space="preserve">ke</w:t>
      </w:r>
      <w:r>
        <w:t xml:space="preserve"> </w:t>
      </w:r>
      <w:r>
        <w:rPr>
          <w:i/>
          <w:iCs/>
        </w:rPr>
        <w:t xml:space="preserve">single-tenant</w:t>
      </w:r>
      <w:r>
        <w:t xml:space="preserve">). Keputusan antara GROW dan RISE sebaiknya dibuat di awal berdasarkan profil kompleksitas, bukan sebagai rencana sementara, karena migrasi ulang setelah</w:t>
      </w:r>
      <w:r>
        <w:t xml:space="preserve"> </w:t>
      </w:r>
      <w:r>
        <w:rPr>
          <w:i/>
          <w:iCs/>
        </w:rPr>
        <w:t xml:space="preserve">go-live</w:t>
      </w:r>
      <w:r>
        <w:t xml:space="preserve"> </w:t>
      </w:r>
      <w:r>
        <w:t xml:space="preserve">berpotensi mahal.</w:t>
      </w:r>
    </w:p>
    <w:bookmarkEnd w:id="29"/>
    <w:bookmarkStart w:id="30" w:name="X3e4cf1220dfbb91fbc0962d5df6fdb39c51ac23"/>
    <w:p>
      <w:pPr>
        <w:pStyle w:val="Heading3"/>
      </w:pPr>
      <w:r>
        <w:t xml:space="preserve">Kapan SAP ECC berhenti didukung secara resmi?</w:t>
      </w:r>
    </w:p>
    <w:p>
      <w:pPr>
        <w:pStyle w:val="FirstParagraph"/>
      </w:pPr>
      <w:r>
        <w:rPr>
          <w:i/>
          <w:iCs/>
        </w:rPr>
        <w:t xml:space="preserve">Mainstream maintenance</w:t>
      </w:r>
      <w:r>
        <w:t xml:space="preserve"> </w:t>
      </w:r>
      <w:r>
        <w:t xml:space="preserve">SAP ECC (Business Suite 7 dengan Enhancement Package 6, 7, atau 8) berakhir 31 Desember 2027.</w:t>
      </w:r>
      <w:r>
        <w:t xml:space="preserve"> </w:t>
      </w:r>
      <w:r>
        <w:rPr>
          <w:i/>
          <w:iCs/>
        </w:rPr>
        <w:t xml:space="preserve">Extended maintenance</w:t>
      </w:r>
      <w:r>
        <w:t xml:space="preserve"> </w:t>
      </w:r>
      <w:r>
        <w:t xml:space="preserve">berbayar (premi +2%) tersedia hingga akhir 2030. Bagi pelanggan dengan lanskap sangat kompleks yang tak mampu migrasi sebelum 2030, ada</w:t>
      </w:r>
      <w:r>
        <w:t xml:space="preserve"> </w:t>
      </w:r>
      <w:r>
        <w:t xml:space="preserve">“SAP ERP, private edition, transition option”</w:t>
      </w:r>
      <w:r>
        <w:t xml:space="preserve">, yaitu langganan cloud baru (bukan dukungan</w:t>
      </w:r>
      <w:r>
        <w:t xml:space="preserve"> </w:t>
      </w:r>
      <w:r>
        <w:rPr>
          <w:i/>
          <w:iCs/>
        </w:rPr>
        <w:t xml:space="preserve">on-premise</w:t>
      </w:r>
      <w:r>
        <w:t xml:space="preserve">) untuk 2031–2033 dengan syarat tertentu.</w:t>
      </w:r>
    </w:p>
    <w:bookmarkEnd w:id="30"/>
    <w:bookmarkStart w:id="31" w:name="X45220222c0455867ae772a8229de46493b21859"/>
    <w:p>
      <w:pPr>
        <w:pStyle w:val="Heading3"/>
      </w:pPr>
      <w:r>
        <w:t xml:space="preserve">Mana yang lebih murah, RISE atau GROW with SAP?</w:t>
      </w:r>
    </w:p>
    <w:p>
      <w:pPr>
        <w:pStyle w:val="FirstParagraph"/>
      </w:pPr>
      <w:r>
        <w:t xml:space="preserve">GROW (Public Edition) umumnya ber-TCO lebih rendah karena infrastruktur</w:t>
      </w:r>
      <w:r>
        <w:t xml:space="preserve"> </w:t>
      </w:r>
      <w:r>
        <w:rPr>
          <w:i/>
          <w:iCs/>
        </w:rPr>
        <w:t xml:space="preserve">multi-tenant</w:t>
      </w:r>
      <w:r>
        <w:t xml:space="preserve"> </w:t>
      </w:r>
      <w:r>
        <w:t xml:space="preserve">yang dibagi dan implementasi lebih cepat. Estimasi praktisi menempatkan biaya Private Edition lebih tinggi untuk cakupan sebanding, tetapi SAP tak menerbitkan harga resmi.</w:t>
      </w:r>
      <w:r>
        <w:t xml:space="preserve"> </w:t>
      </w:r>
      <w:r>
        <w:t xml:space="preserve">“Lebih murah”</w:t>
      </w:r>
      <w:r>
        <w:t xml:space="preserve"> </w:t>
      </w:r>
      <w:r>
        <w:t xml:space="preserve">tidak akurat tanpa konteks: perusahaan dengan banyak kustomisasi ECC sering menemukan biaya</w:t>
      </w:r>
      <w:r>
        <w:t xml:space="preserve"> </w:t>
      </w:r>
      <w:r>
        <w:rPr>
          <w:i/>
          <w:iCs/>
        </w:rPr>
        <w:t xml:space="preserve">re-engineering</w:t>
      </w:r>
      <w:r>
        <w:t xml:space="preserve"> </w:t>
      </w:r>
      <w:r>
        <w:t xml:space="preserve">ke GROW justru lebih besar. Penilaian kesiapan sebaiknya mendahului perbandingan biaya.</w:t>
      </w:r>
    </w:p>
    <w:bookmarkEnd w:id="31"/>
    <w:bookmarkEnd w:id="32"/>
    <w:bookmarkStart w:id="33" w:name="kesimpulan"/>
    <w:p>
      <w:pPr>
        <w:pStyle w:val="Heading2"/>
      </w:pPr>
      <w:r>
        <w:t xml:space="preserve">Kesimpulan</w:t>
      </w:r>
    </w:p>
    <w:p>
      <w:pPr>
        <w:pStyle w:val="FirstParagraph"/>
      </w:pPr>
      <w:r>
        <w:t xml:space="preserve">Pertanyaan</w:t>
      </w:r>
      <w:r>
        <w:t xml:space="preserve"> </w:t>
      </w:r>
      <w:r>
        <w:t xml:space="preserve">“yang mana untuk perusahaan saya”</w:t>
      </w:r>
      <w:r>
        <w:t xml:space="preserve"> </w:t>
      </w:r>
      <w:r>
        <w:t xml:space="preserve">tidak punya jawaban tunggal, dan itu wajar: RISE dan GROW memang menjawab dua titik awal yang berbeda. Kompleksitas eksisting, kebutuhan kustomisasi, kecepatan yang dituntut, dan tenggat ECC 2027/2030 bersama-sama membentuk jawabannya, jauh sebelum angka biaya dibahas. Karena itu, urutan yang sehat adalah menilai kesiapan dulu, baru memilih program. Sebagai SAP Platinum Partner melalui United VARs yang diakui sebagai Best RISE dan Best Cloud Partner, Soltius merancang dan mengeksekusi migrasi pada kedua jalur, membantu memilih yang paling sesuai profil, bukan menjual satu paket.</w:t>
      </w:r>
    </w:p>
    <w:p>
      <w:pPr>
        <w:pStyle w:val="BodyText"/>
      </w:pPr>
      <w:r>
        <w:t xml:space="preserve">Untuk mendiskusikan jalur migrasi ERP ke cloud yang paling pas dengan kondisi perusahaan Anda, kunjungi soltius.co.id dan mulai dari penilaian kesiapan.</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2" Target="https://www.soltius.co.id/blog/sap-clean-core-the-complete-guide" TargetMode="External" /><Relationship Type="http://schemas.openxmlformats.org/officeDocument/2006/relationships/hyperlink" Id="rId18" Target="https://www.soltius.co.id/id/blog/data-warehouse-solutions" TargetMode="External" /><Relationship Type="http://schemas.openxmlformats.org/officeDocument/2006/relationships/hyperlink" Id="rId17"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2" Target="https://www.soltius.co.id/blog/sap-clean-core-the-complete-guide" TargetMode="External" /><Relationship Type="http://schemas.openxmlformats.org/officeDocument/2006/relationships/hyperlink" Id="rId18" Target="https://www.soltius.co.id/id/blog/data-warehouse-solutions" TargetMode="External" /><Relationship Type="http://schemas.openxmlformats.org/officeDocument/2006/relationships/hyperlink" Id="rId17"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2026-06-08T11:34:46Z</dcterms:created>
  <dcterms:modified xsi:type="dcterms:W3CDTF">2026-06-08T11:34:46Z</dcterms:modified>
</cp:coreProperties>
</file>

<file path=docProps/custom.xml><?xml version="1.0" encoding="utf-8"?>
<Properties xmlns="http://schemas.openxmlformats.org/officeDocument/2006/custom-properties" xmlns:vt="http://schemas.openxmlformats.org/officeDocument/2006/docPropsVTypes"/>
</file>