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54F0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bookmarkStart w:id="0" w:name="_GoBack"/>
      <w:bookmarkEnd w:id="0"/>
      <w:r>
        <w:rPr>
          <w:rFonts w:ascii="Calibri" w:hAnsi="Calibri" w:hint="eastAsia"/>
          <w:sz w:val="21"/>
          <w:szCs w:val="21"/>
        </w:rPr>
        <w:t>A 4.78 mm 2 Fully-Integrated Neuromodulation SoC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Combining 64 Acquisition Channels With Digital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Compression and Simultaneous Dual Stimulation</w:t>
      </w:r>
    </w:p>
    <w:p w:rsidR="00000000" w:rsidRDefault="00E54F07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2019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12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26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12:46</w:t>
      </w:r>
    </w:p>
    <w:p w:rsidR="00000000" w:rsidRDefault="00E54F0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 xml:space="preserve"> Compared to the state of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the art, this represents the lowest area and power for the highest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integration complexity achieved to date.</w:t>
      </w:r>
    </w:p>
    <w:p w:rsidR="00000000" w:rsidRDefault="00E54F0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To provide viable treatment options for patients, a BMI must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achieve long-term  actionpotentials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 xml:space="preserve"> recordings from a large population of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neurons (thousands) in multiple regions of the brain</w:t>
      </w:r>
      <w:r>
        <w:rPr>
          <w:rFonts w:ascii="Calibri" w:hAnsi="Calibri"/>
          <w:sz w:val="21"/>
          <w:szCs w:val="21"/>
        </w:rPr>
        <w:t>.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However, standard rac</w:t>
      </w:r>
      <w:r>
        <w:rPr>
          <w:rFonts w:ascii="Calibri" w:hAnsi="Calibri" w:hint="eastAsia"/>
          <w:sz w:val="21"/>
          <w:szCs w:val="21"/>
        </w:rPr>
        <w:t>k mount electronics and large cables typically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used for experimentation prohibit this scaling. Furthermore, a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wired interface through the skull introduces a persistent infection risk for patients, and space constraints prohibit significant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energy storage b</w:t>
      </w:r>
      <w:r>
        <w:rPr>
          <w:rFonts w:ascii="Calibri" w:hAnsi="Calibri" w:hint="eastAsia"/>
          <w:sz w:val="21"/>
          <w:szCs w:val="21"/>
        </w:rPr>
        <w:t>eneath the skull</w:t>
      </w:r>
      <w:r>
        <w:rPr>
          <w:rFonts w:ascii="Calibri" w:hAnsi="Calibri"/>
          <w:sz w:val="21"/>
          <w:szCs w:val="21"/>
        </w:rPr>
        <w:t>.</w:t>
      </w:r>
    </w:p>
    <w:p w:rsidR="00000000" w:rsidRDefault="00E54F0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Consequently, next generation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neural interfaces must be powered and communicate wirelessly,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with the ability to scale to thousands of channels.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This requires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 System-on-Chip (SoC) solution capable of closed loop BMI,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which achieves sig</w:t>
      </w:r>
      <w:r>
        <w:rPr>
          <w:rFonts w:ascii="Calibri" w:hAnsi="Calibri" w:hint="eastAsia"/>
          <w:sz w:val="21"/>
          <w:szCs w:val="21"/>
        </w:rPr>
        <w:t>nificant improvements in area, power and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signal compression over current state of the art</w:t>
      </w:r>
      <w:r>
        <w:rPr>
          <w:rFonts w:ascii="Calibri" w:hAnsi="Calibri"/>
          <w:sz w:val="21"/>
          <w:szCs w:val="21"/>
        </w:rPr>
        <w:t>.</w:t>
      </w:r>
    </w:p>
    <w:p w:rsidR="00000000" w:rsidRDefault="00E54F07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629275" cy="2733675"/>
            <wp:effectExtent l="0" t="0" r="9525" b="9525"/>
            <wp:docPr id="1" name="图片 1" descr="8x Amp Rows &#10;LN &#10;BPF &#10;8x AMPLIFIERS &#10;Supply Sensor &#10;g Mux &#10;Supply Sensor &#10;&amp; Mux &#10;x &#10;ADC &#10;Ref &amp; Regulators &#10;Bias Gen &#10;1:7 DC-DC &#10;Power Train &#10;Digital Back-End &#10;Spike &#10;Packetizer &#10;FIFO &#10;SCAN &#10;Data &#10;Types &#10;Epochs &#10;Firing &#10;Config &#10;Readout &#10;2x Differential Stimulato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x Amp Rows &#10;LN &#10;BPF &#10;8x AMPLIFIERS &#10;Supply Sensor &#10;g Mux &#10;Supply Sensor &#10;&amp; Mux &#10;x &#10;ADC &#10;Ref &amp; Regulators &#10;Bias Gen &#10;1:7 DC-DC &#10;Power Train &#10;Digital Back-End &#10;Spike &#10;Packetizer &#10;FIFO &#10;SCAN &#10;Data &#10;Types &#10;Epochs &#10;Firing &#10;Config &#10;Readout &#10;2x Differential Stimulators 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The system architecture, subdivided in</w:t>
      </w:r>
      <w:r>
        <w:rPr>
          <w:rFonts w:ascii="Calibri" w:hAnsi="Calibri"/>
          <w:sz w:val="21"/>
          <w:szCs w:val="21"/>
        </w:rPr>
        <w:t>to the primary circuit functions:Amplification, Stimuation, Digital Compression and Power Train.</w:t>
      </w:r>
    </w:p>
    <w:p w:rsidR="00000000" w:rsidRDefault="00E54F07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/>
          <w:color w:val="595959"/>
          <w:sz w:val="16"/>
          <w:szCs w:val="16"/>
        </w:rPr>
        <w:t>: 2019/12/27 19:56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The low system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power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and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area,and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high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level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of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integration,are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achieved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using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  <w:highlight w:val="yellow"/>
        </w:rPr>
        <w:t>a highly</w:t>
      </w:r>
      <w:r>
        <w:rPr>
          <w:rFonts w:ascii="Calibri" w:hAnsi="Calibri"/>
          <w:sz w:val="21"/>
          <w:szCs w:val="21"/>
          <w:highlight w:val="yellow"/>
        </w:rPr>
        <w:t xml:space="preserve"> </w:t>
      </w:r>
      <w:r>
        <w:rPr>
          <w:rFonts w:ascii="Calibri" w:hAnsi="Calibri" w:hint="eastAsia"/>
          <w:sz w:val="21"/>
          <w:szCs w:val="21"/>
          <w:highlight w:val="yellow"/>
        </w:rPr>
        <w:t>optimized recording channel</w:t>
      </w:r>
      <w:r>
        <w:rPr>
          <w:rFonts w:ascii="Calibri" w:hAnsi="Calibri" w:hint="eastAsia"/>
          <w:sz w:val="21"/>
          <w:szCs w:val="21"/>
        </w:rPr>
        <w:t xml:space="preserve">, </w:t>
      </w:r>
      <w:r>
        <w:rPr>
          <w:rFonts w:ascii="Calibri" w:hAnsi="Calibri" w:hint="eastAsia"/>
          <w:sz w:val="21"/>
          <w:szCs w:val="21"/>
          <w:highlight w:val="yellow"/>
        </w:rPr>
        <w:t>adiabatic charge</w:t>
      </w:r>
      <w:r>
        <w:rPr>
          <w:rFonts w:ascii="Calibri" w:hAnsi="Calibri"/>
          <w:sz w:val="21"/>
          <w:szCs w:val="21"/>
          <w:highlight w:val="yellow"/>
        </w:rPr>
        <w:t xml:space="preserve"> </w:t>
      </w:r>
      <w:r>
        <w:rPr>
          <w:rFonts w:ascii="Calibri" w:hAnsi="Calibri" w:hint="eastAsia"/>
          <w:sz w:val="21"/>
          <w:szCs w:val="21"/>
          <w:highlight w:val="yellow"/>
        </w:rPr>
        <w:t>recycling stimulator</w:t>
      </w:r>
      <w:r>
        <w:rPr>
          <w:rFonts w:ascii="Calibri" w:hAnsi="Calibri" w:hint="eastAsia"/>
          <w:sz w:val="21"/>
          <w:szCs w:val="21"/>
        </w:rPr>
        <w:t xml:space="preserve">, </w:t>
      </w:r>
      <w:r>
        <w:rPr>
          <w:rFonts w:ascii="Calibri" w:hAnsi="Calibri" w:hint="eastAsia"/>
          <w:sz w:val="21"/>
          <w:szCs w:val="21"/>
          <w:highlight w:val="yellow"/>
        </w:rPr>
        <w:t>novel spike detection algorithm</w:t>
      </w:r>
      <w:r>
        <w:rPr>
          <w:rFonts w:ascii="Calibri" w:hAnsi="Calibri" w:hint="eastAsia"/>
          <w:sz w:val="21"/>
          <w:szCs w:val="21"/>
        </w:rPr>
        <w:t xml:space="preserve">, and </w:t>
      </w:r>
      <w:r>
        <w:rPr>
          <w:rFonts w:ascii="Calibri" w:hAnsi="Calibri" w:hint="eastAsia"/>
          <w:sz w:val="21"/>
          <w:szCs w:val="21"/>
          <w:highlight w:val="yellow"/>
        </w:rPr>
        <w:t>configurable compression back end</w:t>
      </w:r>
      <w:r>
        <w:rPr>
          <w:rFonts w:ascii="Calibri" w:hAnsi="Calibri"/>
          <w:sz w:val="21"/>
          <w:szCs w:val="21"/>
        </w:rPr>
        <w:t>.</w:t>
      </w:r>
    </w:p>
    <w:p w:rsidR="00000000" w:rsidRDefault="00E54F0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The LNA utilizes MIM capacitors for AC-coupling and feed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 xml:space="preserve">back, which enables placement of the </w:t>
      </w:r>
      <w:r>
        <w:rPr>
          <w:rFonts w:ascii="Calibri" w:hAnsi="Calibri" w:hint="eastAsia"/>
          <w:sz w:val="21"/>
          <w:szCs w:val="21"/>
          <w:highlight w:val="yellow"/>
        </w:rPr>
        <w:t>capacitors over the active</w:t>
      </w:r>
      <w:r>
        <w:rPr>
          <w:rFonts w:ascii="Calibri" w:hAnsi="Calibri"/>
          <w:sz w:val="21"/>
          <w:szCs w:val="21"/>
          <w:highlight w:val="yellow"/>
        </w:rPr>
        <w:t xml:space="preserve"> </w:t>
      </w:r>
      <w:r>
        <w:rPr>
          <w:rFonts w:ascii="Calibri" w:hAnsi="Calibri" w:hint="eastAsia"/>
          <w:sz w:val="21"/>
          <w:szCs w:val="21"/>
          <w:highlight w:val="yellow"/>
        </w:rPr>
        <w:t>circuits</w:t>
      </w:r>
      <w:r>
        <w:rPr>
          <w:rFonts w:ascii="Calibri" w:hAnsi="Calibri" w:hint="eastAsia"/>
          <w:sz w:val="21"/>
          <w:szCs w:val="21"/>
        </w:rPr>
        <w:t xml:space="preserve"> in order to m</w:t>
      </w:r>
      <w:r>
        <w:rPr>
          <w:rFonts w:ascii="Calibri" w:hAnsi="Calibri" w:hint="eastAsia"/>
          <w:sz w:val="21"/>
          <w:szCs w:val="21"/>
        </w:rPr>
        <w:t>inimize die area.</w:t>
      </w:r>
    </w:p>
    <w:p w:rsidR="00000000" w:rsidRDefault="00E54F0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This area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efficiency enables a substantial increase in number of recording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channels per chip, as well as integration of on-chip compression and stimulation. Note that this design consumes 2.3 the</w:t>
      </w:r>
      <w:r>
        <w:rPr>
          <w:rFonts w:ascii="Calibri" w:hAnsi="Calibri"/>
          <w:sz w:val="21"/>
          <w:szCs w:val="21"/>
        </w:rPr>
        <w:t xml:space="preserve">   </w:t>
      </w:r>
      <w:r>
        <w:rPr>
          <w:rFonts w:ascii="Calibri" w:hAnsi="Calibri" w:hint="eastAsia"/>
          <w:sz w:val="21"/>
          <w:szCs w:val="21"/>
        </w:rPr>
        <w:t>area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of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our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previous</w:t>
      </w:r>
      <w:r>
        <w:rPr>
          <w:rFonts w:ascii="Calibri" w:hAnsi="Calibri"/>
          <w:sz w:val="21"/>
          <w:szCs w:val="21"/>
          <w:highlight w:val="yellow"/>
        </w:rPr>
        <w:t xml:space="preserve"> </w:t>
      </w:r>
      <w:r>
        <w:rPr>
          <w:rFonts w:ascii="Calibri" w:hAnsi="Calibri" w:hint="eastAsia"/>
          <w:sz w:val="21"/>
          <w:szCs w:val="21"/>
          <w:highlight w:val="yellow"/>
        </w:rPr>
        <w:t>open</w:t>
      </w:r>
      <w:r>
        <w:rPr>
          <w:rFonts w:ascii="Calibri" w:hAnsi="Calibri"/>
          <w:sz w:val="21"/>
          <w:szCs w:val="21"/>
          <w:highlight w:val="yellow"/>
        </w:rPr>
        <w:t xml:space="preserve"> </w:t>
      </w:r>
      <w:r>
        <w:rPr>
          <w:rFonts w:ascii="Calibri" w:hAnsi="Calibri" w:hint="eastAsia"/>
          <w:sz w:val="21"/>
          <w:szCs w:val="21"/>
          <w:highlight w:val="yellow"/>
        </w:rPr>
        <w:t>loop</w:t>
      </w:r>
      <w:r>
        <w:rPr>
          <w:rFonts w:ascii="Calibri" w:hAnsi="Calibri"/>
          <w:sz w:val="21"/>
          <w:szCs w:val="21"/>
          <w:highlight w:val="yellow"/>
        </w:rPr>
        <w:t xml:space="preserve"> </w:t>
      </w:r>
      <w:r>
        <w:rPr>
          <w:rFonts w:ascii="Calibri" w:hAnsi="Calibri" w:hint="eastAsia"/>
          <w:sz w:val="21"/>
          <w:szCs w:val="21"/>
          <w:highlight w:val="yellow"/>
        </w:rPr>
        <w:t>design</w:t>
      </w:r>
      <w:r>
        <w:rPr>
          <w:rFonts w:ascii="Calibri" w:hAnsi="Calibri" w:hint="eastAsia"/>
          <w:sz w:val="21"/>
          <w:szCs w:val="21"/>
        </w:rPr>
        <w:t>[13],which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is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  <w:highlight w:val="yellow"/>
        </w:rPr>
        <w:t>the</w:t>
      </w:r>
      <w:r>
        <w:rPr>
          <w:rFonts w:ascii="Calibri" w:hAnsi="Calibri"/>
          <w:sz w:val="21"/>
          <w:szCs w:val="21"/>
          <w:highlight w:val="yellow"/>
        </w:rPr>
        <w:t xml:space="preserve"> </w:t>
      </w:r>
      <w:r>
        <w:rPr>
          <w:rFonts w:ascii="Calibri" w:hAnsi="Calibri" w:hint="eastAsia"/>
          <w:sz w:val="21"/>
          <w:szCs w:val="21"/>
          <w:highlight w:val="yellow"/>
        </w:rPr>
        <w:t>smallest</w:t>
      </w:r>
      <w:r>
        <w:rPr>
          <w:rFonts w:ascii="Calibri" w:hAnsi="Calibri"/>
          <w:sz w:val="21"/>
          <w:szCs w:val="21"/>
          <w:highlight w:val="yellow"/>
        </w:rPr>
        <w:t xml:space="preserve"> </w:t>
      </w:r>
      <w:r>
        <w:rPr>
          <w:rFonts w:ascii="Calibri" w:hAnsi="Calibri" w:hint="eastAsia"/>
          <w:sz w:val="21"/>
          <w:szCs w:val="21"/>
          <w:highlight w:val="yellow"/>
        </w:rPr>
        <w:t xml:space="preserve">neural recording channel </w:t>
      </w:r>
      <w:r>
        <w:rPr>
          <w:rFonts w:ascii="Calibri" w:hAnsi="Calibri" w:hint="eastAsia"/>
          <w:sz w:val="21"/>
          <w:szCs w:val="21"/>
          <w:highlight w:val="yellow"/>
        </w:rPr>
        <w:lastRenderedPageBreak/>
        <w:t>reported to date</w:t>
      </w:r>
      <w:r>
        <w:rPr>
          <w:rFonts w:ascii="Calibri" w:hAnsi="Calibri" w:hint="eastAsia"/>
          <w:sz w:val="21"/>
          <w:szCs w:val="21"/>
        </w:rPr>
        <w:t>. However, that design</w:t>
      </w:r>
      <w:r>
        <w:rPr>
          <w:rFonts w:ascii="Calibri" w:hAnsi="Calibri"/>
          <w:sz w:val="21"/>
          <w:szCs w:val="21"/>
          <w:highlight w:val="yellow"/>
        </w:rPr>
        <w:t xml:space="preserve"> r</w:t>
      </w:r>
      <w:r>
        <w:rPr>
          <w:rFonts w:ascii="Calibri" w:hAnsi="Calibri" w:hint="eastAsia"/>
          <w:sz w:val="21"/>
          <w:szCs w:val="21"/>
          <w:highlight w:val="yellow"/>
        </w:rPr>
        <w:t>equired per</w:t>
      </w:r>
      <w:r>
        <w:rPr>
          <w:rFonts w:ascii="Calibri" w:hAnsi="Calibri"/>
          <w:sz w:val="21"/>
          <w:szCs w:val="21"/>
          <w:highlight w:val="yellow"/>
        </w:rPr>
        <w:t xml:space="preserve"> </w:t>
      </w:r>
      <w:r>
        <w:rPr>
          <w:rFonts w:ascii="Calibri" w:hAnsi="Calibri" w:hint="eastAsia"/>
          <w:sz w:val="21"/>
          <w:szCs w:val="21"/>
          <w:highlight w:val="yellow"/>
        </w:rPr>
        <w:t>channel gain calibration</w:t>
      </w:r>
      <w:r>
        <w:rPr>
          <w:rFonts w:ascii="Calibri" w:hAnsi="Calibri" w:hint="eastAsia"/>
          <w:sz w:val="21"/>
          <w:szCs w:val="21"/>
        </w:rPr>
        <w:t xml:space="preserve"> that weconsidered unsuitable for deployment in complex systems with hundreds to thousands of channels.</w:t>
      </w:r>
    </w:p>
    <w:p w:rsidR="00000000" w:rsidRDefault="00E54F07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591175" cy="2771775"/>
            <wp:effectExtent l="0" t="0" r="9525" b="9525"/>
            <wp:docPr id="2" name="图片 2" descr="64 Ch History &#10;Buffer &#10;2.4 ms &#10;64 Ch &#10;NEO &#10;Packetizer &#10;Firing Rate &#10;Epoch &#10;Stream &#10;Scan Echo &#10;128 &#10;Packet &#10;FIFO &#10;Scan &#10;Clock &#10;Dist. &#10;•DATA &#10;Spike &#10;Events &#10;Spike &#10;ount &#10;Data &#10;Types &#10;Stream &#10;Epochs &#10;50Hz/Ch &#10;Firing &#10;64 Ch Power &#10;64 ch Data Rate &#10;Compression Ratio &#10;238gW &#10;13.653Mbps &#10;113.6gW &#10;1.6384 Mbps &#10;77.63gW &#10;20kpb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 Ch History &#10;Buffer &#10;2.4 ms &#10;64 Ch &#10;NEO &#10;Packetizer &#10;Firing Rate &#10;Epoch &#10;Stream &#10;Scan Echo &#10;128 &#10;Packet &#10;FIFO &#10;Scan &#10;Clock &#10;Dist. &#10;•DATA &#10;Spike &#10;Events &#10;Spike &#10;ount &#10;Data &#10;Types &#10;Stream &#10;Epochs &#10;50Hz/Ch &#10;Firing &#10;64 Ch Power &#10;64 ch Data Rate &#10;Compression Ratio &#10;238gW &#10;13.653Mbps &#10;113.6gW &#10;1.6384 Mbps &#10;77.63gW &#10;20kpbs 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/>
          <w:color w:val="595959"/>
          <w:sz w:val="16"/>
          <w:szCs w:val="16"/>
        </w:rPr>
        <w:t>: 2019/12/27 21:02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 xml:space="preserve"> Compressionblockdiagramandthepowerconsumption,datarates,and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compression ratio for different outpu</w:t>
      </w:r>
      <w:r>
        <w:rPr>
          <w:rFonts w:ascii="Calibri" w:hAnsi="Calibri" w:hint="eastAsia"/>
          <w:sz w:val="21"/>
          <w:szCs w:val="21"/>
        </w:rPr>
        <w:t>t modes.</w:t>
      </w:r>
    </w:p>
    <w:p w:rsidR="00000000" w:rsidRDefault="00E54F0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3400425" cy="2790825"/>
            <wp:effectExtent l="0" t="0" r="9525" b="9525"/>
            <wp:docPr id="3" name="图片 3" descr="DI &#10;From ADC &#10;x(n-T) &#10;x(n)2 &#10;x(n-T) * x(n+T) &#10;D8 &#10;NEO Output &#10;Memory &#10;x(n) &#10;x(n+T) &#10;Spike &#10;Event &#10;Threshol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 &#10;From ADC &#10;x(n-T) &#10;x(n)2 &#10;x(n-T) * x(n+T) &#10;D8 &#10;NEO Output &#10;Memory &#10;x(n) &#10;x(n+T) &#10;Spike &#10;Event &#10;Threshold 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/>
          <w:color w:val="595959"/>
          <w:sz w:val="16"/>
          <w:szCs w:val="16"/>
        </w:rPr>
        <w:t>: 2019/12/27 21:02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Spike dete</w:t>
      </w:r>
      <w:r>
        <w:rPr>
          <w:rFonts w:ascii="Calibri" w:hAnsi="Calibri" w:hint="eastAsia"/>
          <w:sz w:val="21"/>
          <w:szCs w:val="21"/>
        </w:rPr>
        <w:t>ction block diagram showing programmable delay, NEO,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and moving average filter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In a BMI system, neural stimulation is used to provide feedback to the patient. Charge is deposited onto an electrode until the resulting electric field becomes strong enough to</w:t>
      </w:r>
      <w:r>
        <w:rPr>
          <w:rFonts w:ascii="Calibri" w:hAnsi="Calibri"/>
          <w:sz w:val="21"/>
          <w:szCs w:val="21"/>
        </w:rPr>
        <w:t xml:space="preserve"> trigger a response from neighboring neurons.</w:t>
      </w:r>
    </w:p>
    <w:p w:rsidR="00000000" w:rsidRDefault="00E54F0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3228975" cy="3257550"/>
            <wp:effectExtent l="0" t="0" r="9525" b="0"/>
            <wp:docPr id="4" name="图片 4" descr="计算机生成了可选文字: B日SeStation&#10;雄泪&#10;S幼mulation&#10;CommandS&#10;君&#10;林HDMI臼ble&#10;汁雄&#10;Headstage&#10;’熟&#10;RaWStreamS&#10;Epochs&#10;FiringRates&#10;几咯个&#10;RatWith&#10;Implanted&#10;MiCrOWir6&#10;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B日SeStation&#10;雄泪&#10;S幼mulation&#10;CommandS&#10;君&#10;林HDMI臼ble&#10;汁雄&#10;Headstage&#10;’熟&#10;RaWStreamS&#10;Epochs&#10;FiringRates&#10;几咯个&#10;RatWith&#10;Implanted&#10;MiCrOWir6&#10;ArraY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E54F07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/>
          <w:color w:val="595959"/>
          <w:sz w:val="16"/>
          <w:szCs w:val="16"/>
        </w:rPr>
        <w:t>: 2019/12/27 21:33</w:t>
      </w:r>
    </w:p>
    <w:p w:rsidR="00000000" w:rsidRDefault="00E54F07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 xml:space="preserve">The in vivo </w:t>
      </w:r>
      <w:r>
        <w:rPr>
          <w:rFonts w:ascii="Calibri" w:hAnsi="Calibri" w:hint="eastAsia"/>
          <w:sz w:val="21"/>
          <w:szCs w:val="21"/>
        </w:rPr>
        <w:t>neuromodulation test system is composed of a microwire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 xml:space="preserve">implanted array, a compact headstage containing the SoC, a base 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tation, and a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GUI.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F07" w:rsidRDefault="00E54F07" w:rsidP="00E54F07">
      <w:r>
        <w:separator/>
      </w:r>
    </w:p>
  </w:endnote>
  <w:endnote w:type="continuationSeparator" w:id="0">
    <w:p w:rsidR="00E54F07" w:rsidRDefault="00E54F07" w:rsidP="00E5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F07" w:rsidRDefault="00E54F07" w:rsidP="00E54F07">
      <w:r>
        <w:separator/>
      </w:r>
    </w:p>
  </w:footnote>
  <w:footnote w:type="continuationSeparator" w:id="0">
    <w:p w:rsidR="00E54F07" w:rsidRDefault="00E54F07" w:rsidP="00E54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E54F07"/>
    <w:rsid w:val="00E5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E54F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4F07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4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4F0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4F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4F07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E54F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4F07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4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4F0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4F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4F0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.WIN7U-20160604L\AppData\Local\Temp\%7bCE7DA4FF-F335-4DCE-A59C-ECA6EAF24AFC%7d.files\image002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Administrator.WIN7U-20160604L\AppData\Local\Temp\%7bCE7DA4FF-F335-4DCE-A59C-ECA6EAF24AFC%7d.files\image001.p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file:///C:\Users\Administrator.WIN7U-20160604L\AppData\Local\Temp\%7bCE7DA4FF-F335-4DCE-A59C-ECA6EAF24AFC%7d.files\image00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Administrator.WIN7U-20160604L\AppData\Local\Temp\%7bCE7DA4FF-F335-4DCE-A59C-ECA6EAF24AFC%7d.files\image00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2019-12-27T13:38:00Z</dcterms:created>
  <dcterms:modified xsi:type="dcterms:W3CDTF">2019-12-27T13:38:00Z</dcterms:modified>
</cp:coreProperties>
</file>