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运通汇相关系统应急手册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7"/>
        <w:tblW w:w="51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55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4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版本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作者</w:t>
            </w:r>
          </w:p>
        </w:tc>
        <w:tc>
          <w:tcPr>
            <w:tcW w:w="2165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编写日期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4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梁廷森</w:t>
            </w:r>
          </w:p>
        </w:tc>
        <w:tc>
          <w:tcPr>
            <w:tcW w:w="2165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2017-11-02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4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4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4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适用对象：针对信息部开发人员使用，需要有数据库知识；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前提条件：在家办公需要安装VPN并登陆集团分配的账号，安装mysql客户端并连接生产库。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能让店里自行解决的要以指导为主。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所有关于数据库删改操作，必须在备份后再进行处理。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环境说明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数据库服务器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IP：192.168.22.125【以下简称生产库】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用户名密码：root、wintop@2016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库名：wintop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Web服务器【tomcat】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系统：Linux centos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IP：192.168.24.74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用户名密码：root、wsgx#zrhx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所需工具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Mysql自己安装解决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5自己下载安装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VPN连接方法</w:t>
      </w:r>
    </w:p>
    <w:p>
      <w:pPr>
        <w:numPr>
          <w:ilvl w:val="0"/>
          <w:numId w:val="2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准备VPN账号</w:t>
      </w:r>
    </w:p>
    <w:p>
      <w:pPr>
        <w:numPr>
          <w:ilvl w:val="0"/>
          <w:numId w:val="2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IE浏览器访问https://111.202.186.97/</w:t>
      </w:r>
    </w:p>
    <w:p>
      <w:pPr>
        <w:numPr>
          <w:ilvl w:val="0"/>
          <w:numId w:val="2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通过打开的页面下载并登陆VPN客户端</w:t>
      </w:r>
    </w:p>
    <w:p>
      <w:pPr>
        <w:numPr>
          <w:ilvl w:val="0"/>
          <w:numId w:val="2"/>
        </w:numPr>
        <w:ind w:left="-42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测试：本地ping 服务器ip是否能通，可以就成功了。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常见问题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运通汇客户手机号注册收不到验证码</w:t>
      </w:r>
    </w:p>
    <w:p>
      <w:pPr>
        <w:numPr>
          <w:ilvl w:val="1"/>
          <w:numId w:val="3"/>
        </w:numPr>
        <w:tabs>
          <w:tab w:val="clear" w:pos="840"/>
        </w:tabs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原因一：客户手机当做垃圾短信拦截了；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解决：登陆系统后台通用功能=》短信发送记录，找到当前手机号最近的一条记录。</w:t>
      </w:r>
      <w:r>
        <w:rPr>
          <w:rFonts w:hint="eastAsia"/>
          <w:b/>
          <w:bCs w:val="0"/>
          <w:color w:val="FF0000"/>
          <w:lang w:val="en-US" w:eastAsia="zh-CN"/>
        </w:rPr>
        <w:t>【店里人员可自行处理，如不知道可告知如何处理。】</w:t>
      </w:r>
    </w:p>
    <w:p>
      <w:pPr>
        <w:numPr>
          <w:ilvl w:val="1"/>
          <w:numId w:val="3"/>
        </w:numPr>
        <w:tabs>
          <w:tab w:val="clear" w:pos="840"/>
        </w:tabs>
        <w:ind w:left="0" w:leftChars="0" w:firstLine="840" w:firstLineChars="0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原因二：客户手机号被短信服务商列入黑名单</w:t>
      </w:r>
      <w:r>
        <w:rPr>
          <w:rFonts w:hint="eastAsia"/>
          <w:b/>
          <w:bCs w:val="0"/>
          <w:color w:val="FF0000"/>
          <w:lang w:val="en-US" w:eastAsia="zh-CN"/>
        </w:rPr>
        <w:t>【排除以上原因后】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解决：发到短信服务商群里，让其解除后，客户再重新注册</w:t>
      </w:r>
    </w:p>
    <w:p>
      <w:pPr>
        <w:numPr>
          <w:ilvl w:val="1"/>
          <w:numId w:val="3"/>
        </w:numPr>
        <w:tabs>
          <w:tab w:val="clear" w:pos="840"/>
        </w:tabs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其他原因：以上处理还不行，在开发群里描述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运通汇客户手机号注册输入验证码提示数据操作失败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drawing>
          <wp:inline distT="0" distB="0" distL="114300" distR="114300">
            <wp:extent cx="1229360" cy="1639570"/>
            <wp:effectExtent l="0" t="0" r="5080" b="6350"/>
            <wp:docPr id="4" name="图片 4" descr="~PQ%60}$%R{GE{OM4(X8H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PQ%60}$%R{GE{OM4(X8H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clear" w:pos="840"/>
        </w:tabs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原因：此手机号已在wt_customer表里存在至少两条；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解决：</w:t>
      </w:r>
      <w:bookmarkStart w:id="0" w:name="_GoBack"/>
      <w:bookmarkEnd w:id="0"/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登陆VPN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客户端连接生产库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根据以下sql进行处理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BF6" w:themeFill="accent1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BF6" w:themeFill="accent1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DEEBF6" w:themeFill="accent1" w:themeFillTint="3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用户表【查出来，留最近的一条，其他删掉】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wt_customer where customer_phone=13801043132;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用户与微信关联表【如果有记录留下与上面关联的一条，其他删掉】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wt_customer_union where customer_id in(用户id);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会员表【修改customer_id 为customer表留下的一条的主键】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wt_member where member_phone=13801043132;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车辆表【修改customer_id 为customer表留下的一条的主键】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wt_auto_info where contact_information=13801043132;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3"/>
        </w:numPr>
        <w:ind w:left="-420" w:leftChars="0" w:firstLine="84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注册成功后，在会员卡列表中不显示客户的商周卡</w:t>
      </w:r>
    </w:p>
    <w:p>
      <w:pPr>
        <w:numPr>
          <w:ilvl w:val="1"/>
          <w:numId w:val="3"/>
        </w:numPr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原因一：商周会员卡手机号与当前注册使用手机号不一致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解决：店里人员与客户确认如不一致，确认客户需要使用那一个手机号，VPN连接生产库然后依下面SQL进行处理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BF6" w:themeFill="accent1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DEEBF6" w:themeFill="accent1" w:themeFillTint="3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用户表【根据两个手机号查处对应用户数据】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wt_customer where customer_phone in(手机号);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-- 用户商周关联表【将老手机号对应的关联数据删掉】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select * from wt_customer_member where customer_id in (老手机号的会员ID);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b/>
          <w:lang w:val="en-US" w:eastAsia="zh-CN"/>
        </w:rPr>
      </w:pPr>
    </w:p>
    <w:p>
      <w:pPr>
        <w:numPr>
          <w:ilvl w:val="0"/>
          <w:numId w:val="3"/>
        </w:numPr>
        <w:ind w:left="-420" w:leftChars="0" w:firstLine="84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会员系统进行购买和消费扫码时，没有反应</w:t>
      </w:r>
    </w:p>
    <w:p>
      <w:pPr>
        <w:numPr>
          <w:ilvl w:val="1"/>
          <w:numId w:val="3"/>
        </w:numPr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原因一：客户出示的会员卡是商周卡如下图；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692400" cy="3120390"/>
            <wp:effectExtent l="0" t="0" r="508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解决：店里自行确认</w:t>
      </w:r>
    </w:p>
    <w:p>
      <w:pPr>
        <w:numPr>
          <w:ilvl w:val="1"/>
          <w:numId w:val="3"/>
        </w:numPr>
        <w:ind w:left="0" w:leftChars="0" w:firstLine="84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原因二：当前输入光标焦点不在卡号输入框内；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解决：鼠标点击下卡号输入框再进行扫码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27170" cy="2515235"/>
            <wp:effectExtent l="0" t="0" r="1143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。。。。。。。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6C43"/>
    <w:multiLevelType w:val="multilevel"/>
    <w:tmpl w:val="59FA6C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FA88E8"/>
    <w:multiLevelType w:val="multilevel"/>
    <w:tmpl w:val="59FA88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FA89A8"/>
    <w:multiLevelType w:val="singleLevel"/>
    <w:tmpl w:val="59FA89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FA9004"/>
    <w:multiLevelType w:val="singleLevel"/>
    <w:tmpl w:val="59FA90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DF0"/>
    <w:rsid w:val="0065531D"/>
    <w:rsid w:val="009B0431"/>
    <w:rsid w:val="01787326"/>
    <w:rsid w:val="01866C70"/>
    <w:rsid w:val="01AF45B4"/>
    <w:rsid w:val="03406975"/>
    <w:rsid w:val="036A5D55"/>
    <w:rsid w:val="03967D9E"/>
    <w:rsid w:val="040D1D19"/>
    <w:rsid w:val="042C658A"/>
    <w:rsid w:val="04521C43"/>
    <w:rsid w:val="054E168D"/>
    <w:rsid w:val="05C571DA"/>
    <w:rsid w:val="060A10ED"/>
    <w:rsid w:val="064B25F4"/>
    <w:rsid w:val="0794739A"/>
    <w:rsid w:val="07C25323"/>
    <w:rsid w:val="08513F8E"/>
    <w:rsid w:val="098956C1"/>
    <w:rsid w:val="0AD409DC"/>
    <w:rsid w:val="0B766ED5"/>
    <w:rsid w:val="0B862E70"/>
    <w:rsid w:val="0BAA06B6"/>
    <w:rsid w:val="0CDB4C02"/>
    <w:rsid w:val="0D5708F7"/>
    <w:rsid w:val="0D6A646D"/>
    <w:rsid w:val="0EA707A3"/>
    <w:rsid w:val="0EC70835"/>
    <w:rsid w:val="0EF36268"/>
    <w:rsid w:val="0EF9751C"/>
    <w:rsid w:val="10724687"/>
    <w:rsid w:val="1117172F"/>
    <w:rsid w:val="113A4D7E"/>
    <w:rsid w:val="115012A4"/>
    <w:rsid w:val="115609BF"/>
    <w:rsid w:val="128D2464"/>
    <w:rsid w:val="13107E03"/>
    <w:rsid w:val="148E7036"/>
    <w:rsid w:val="14D43617"/>
    <w:rsid w:val="163F422D"/>
    <w:rsid w:val="17EE1D40"/>
    <w:rsid w:val="1AE10A16"/>
    <w:rsid w:val="1B5B3423"/>
    <w:rsid w:val="1BBE3B52"/>
    <w:rsid w:val="1BCF76E0"/>
    <w:rsid w:val="1CEA45B0"/>
    <w:rsid w:val="1D247CD8"/>
    <w:rsid w:val="1D47203C"/>
    <w:rsid w:val="1E0B0C41"/>
    <w:rsid w:val="1EAA06EE"/>
    <w:rsid w:val="1ECB7E80"/>
    <w:rsid w:val="200B0D7F"/>
    <w:rsid w:val="202E4F64"/>
    <w:rsid w:val="203E126F"/>
    <w:rsid w:val="20445336"/>
    <w:rsid w:val="20E00B34"/>
    <w:rsid w:val="22C1662C"/>
    <w:rsid w:val="23AE3B1F"/>
    <w:rsid w:val="24FE7138"/>
    <w:rsid w:val="2593082F"/>
    <w:rsid w:val="28E17289"/>
    <w:rsid w:val="297D5BF0"/>
    <w:rsid w:val="29CF5D81"/>
    <w:rsid w:val="2A457AF0"/>
    <w:rsid w:val="2A7040AD"/>
    <w:rsid w:val="2A7C4041"/>
    <w:rsid w:val="2AC40359"/>
    <w:rsid w:val="2DB95144"/>
    <w:rsid w:val="2EBB176F"/>
    <w:rsid w:val="2F2E05D2"/>
    <w:rsid w:val="2FB36FB4"/>
    <w:rsid w:val="30A84BFF"/>
    <w:rsid w:val="324C7F38"/>
    <w:rsid w:val="327F3E79"/>
    <w:rsid w:val="330B73F5"/>
    <w:rsid w:val="33934B7F"/>
    <w:rsid w:val="34287E50"/>
    <w:rsid w:val="35C71FB8"/>
    <w:rsid w:val="378F727D"/>
    <w:rsid w:val="37E74FEF"/>
    <w:rsid w:val="384A0174"/>
    <w:rsid w:val="3925254B"/>
    <w:rsid w:val="39391813"/>
    <w:rsid w:val="3946474E"/>
    <w:rsid w:val="39544192"/>
    <w:rsid w:val="39A86F34"/>
    <w:rsid w:val="3A1F1DED"/>
    <w:rsid w:val="3A5C09E1"/>
    <w:rsid w:val="3AB61534"/>
    <w:rsid w:val="3AD907C5"/>
    <w:rsid w:val="3BA016A0"/>
    <w:rsid w:val="3BC04BFE"/>
    <w:rsid w:val="3BD31A85"/>
    <w:rsid w:val="3CAE0050"/>
    <w:rsid w:val="3D642BE4"/>
    <w:rsid w:val="401D144B"/>
    <w:rsid w:val="408309E8"/>
    <w:rsid w:val="40E74099"/>
    <w:rsid w:val="44842151"/>
    <w:rsid w:val="449E0C9B"/>
    <w:rsid w:val="45133D32"/>
    <w:rsid w:val="46D12C0C"/>
    <w:rsid w:val="472B3AF4"/>
    <w:rsid w:val="474D475B"/>
    <w:rsid w:val="475E6FA9"/>
    <w:rsid w:val="486E28ED"/>
    <w:rsid w:val="496D3E67"/>
    <w:rsid w:val="49C43D30"/>
    <w:rsid w:val="4A75084E"/>
    <w:rsid w:val="4B710619"/>
    <w:rsid w:val="4C06336E"/>
    <w:rsid w:val="4CE36E1C"/>
    <w:rsid w:val="4D58753A"/>
    <w:rsid w:val="4DE175C6"/>
    <w:rsid w:val="4DF53561"/>
    <w:rsid w:val="4E643625"/>
    <w:rsid w:val="4E9B2F1F"/>
    <w:rsid w:val="4EE26F47"/>
    <w:rsid w:val="4F293270"/>
    <w:rsid w:val="4FA64DDF"/>
    <w:rsid w:val="508A3E86"/>
    <w:rsid w:val="51E248CD"/>
    <w:rsid w:val="527B073A"/>
    <w:rsid w:val="532D5BAD"/>
    <w:rsid w:val="536B2ED3"/>
    <w:rsid w:val="55273FE0"/>
    <w:rsid w:val="5533348C"/>
    <w:rsid w:val="55D66877"/>
    <w:rsid w:val="56EA155C"/>
    <w:rsid w:val="574C393C"/>
    <w:rsid w:val="58490D94"/>
    <w:rsid w:val="58B03621"/>
    <w:rsid w:val="59280C19"/>
    <w:rsid w:val="597C538C"/>
    <w:rsid w:val="5A0D2B43"/>
    <w:rsid w:val="5A556D0A"/>
    <w:rsid w:val="5A6B0050"/>
    <w:rsid w:val="5A865A18"/>
    <w:rsid w:val="5B6645BD"/>
    <w:rsid w:val="5B9C174A"/>
    <w:rsid w:val="5BB47C28"/>
    <w:rsid w:val="5BCB0AB4"/>
    <w:rsid w:val="5C867B3C"/>
    <w:rsid w:val="5CD4195F"/>
    <w:rsid w:val="5CE51B15"/>
    <w:rsid w:val="5F1A1F62"/>
    <w:rsid w:val="5F473B4A"/>
    <w:rsid w:val="5F957F57"/>
    <w:rsid w:val="5F9A5D36"/>
    <w:rsid w:val="5FB14060"/>
    <w:rsid w:val="5FC155A2"/>
    <w:rsid w:val="60E753A8"/>
    <w:rsid w:val="61444856"/>
    <w:rsid w:val="61E13D7F"/>
    <w:rsid w:val="622C32A9"/>
    <w:rsid w:val="626900BC"/>
    <w:rsid w:val="62707913"/>
    <w:rsid w:val="629D08E3"/>
    <w:rsid w:val="63172AE9"/>
    <w:rsid w:val="63BA6974"/>
    <w:rsid w:val="63E97D71"/>
    <w:rsid w:val="64007867"/>
    <w:rsid w:val="64833E7D"/>
    <w:rsid w:val="64A864C5"/>
    <w:rsid w:val="64C61AAA"/>
    <w:rsid w:val="65E55D24"/>
    <w:rsid w:val="66623225"/>
    <w:rsid w:val="671D6C7D"/>
    <w:rsid w:val="674F61FF"/>
    <w:rsid w:val="691E36C8"/>
    <w:rsid w:val="6A1D7EE9"/>
    <w:rsid w:val="6B4721A1"/>
    <w:rsid w:val="6BC83132"/>
    <w:rsid w:val="6CFA433B"/>
    <w:rsid w:val="6D900397"/>
    <w:rsid w:val="6DA63D71"/>
    <w:rsid w:val="6DE54307"/>
    <w:rsid w:val="6DF94C12"/>
    <w:rsid w:val="6F08283B"/>
    <w:rsid w:val="70334935"/>
    <w:rsid w:val="710A0593"/>
    <w:rsid w:val="711D7A9A"/>
    <w:rsid w:val="71CF7BD6"/>
    <w:rsid w:val="73246FFD"/>
    <w:rsid w:val="73482B71"/>
    <w:rsid w:val="746A1C7D"/>
    <w:rsid w:val="74C77ECC"/>
    <w:rsid w:val="75185DD5"/>
    <w:rsid w:val="751C52EB"/>
    <w:rsid w:val="76264508"/>
    <w:rsid w:val="77451C5A"/>
    <w:rsid w:val="783E5142"/>
    <w:rsid w:val="78E43CAC"/>
    <w:rsid w:val="78EC1581"/>
    <w:rsid w:val="790F5BB3"/>
    <w:rsid w:val="794B2A8D"/>
    <w:rsid w:val="7A534E84"/>
    <w:rsid w:val="7AC7705F"/>
    <w:rsid w:val="7ACA55B4"/>
    <w:rsid w:val="7B190BA6"/>
    <w:rsid w:val="7C7C164F"/>
    <w:rsid w:val="7C9E721F"/>
    <w:rsid w:val="7D497529"/>
    <w:rsid w:val="7DF872A2"/>
    <w:rsid w:val="7E39033E"/>
    <w:rsid w:val="7E3E167D"/>
    <w:rsid w:val="7E8D5391"/>
    <w:rsid w:val="7EBA5F66"/>
    <w:rsid w:val="7FD81817"/>
    <w:rsid w:val="7FE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liangtingsen</dc:creator>
  <cp:lastModifiedBy>liangtingsen</cp:lastModifiedBy>
  <dcterms:modified xsi:type="dcterms:W3CDTF">2017-11-02T06:47:34Z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