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b/>
          <w:bCs/>
          <w:color w:val="1F4E79"/>
          <w:sz w:val="56"/>
          <w:szCs w:val="56"/>
        </w:rPr>
        <w:t xml:space="preserve">AI Incident Response Plan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Responding to Bias Incidents, Harmful Outputs, Hallucinations, and Jailbreaks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Version 1.0 — July 2026</w:t>
      </w:r>
    </w:p>
    <w:p>
      <w:pPr>
        <w:jc w:val="center"/>
      </w:pPr>
      <w:r>
        <w:rPr>
          <w:color w:val="888888"/>
          <w:sz w:val="22"/>
          <w:szCs w:val="22"/>
        </w:rPr>
        <w:t xml:space="preserve">Classification: Internal — Restricted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 and Scope</w:t>
      </w:r>
    </w:p>
    <w:p>
      <w:pPr>
        <w:spacing w:after="120"/>
      </w:pPr>
      <w:r>
        <w:t xml:space="preserve">This plan defines how the organization detects, triages, contains, and resolves incidents caused by the behavior of AI systems in production. It complements — and does not replace — the general security incident response plan. When an AI incident also involves a security breach (e.g., data exfiltration via prompt injection), both plans apply and the Security IC leads.</w:t>
      </w:r>
    </w:p>
    <w:p>
      <w:pPr>
        <w:spacing w:after="120"/>
      </w:pPr>
      <w:r>
        <w:t xml:space="preserve">In scope: all customer-facing AI features (chat assistants, generation, summarization, recommendations, classification) and the models, prompts, retrieval systems, and guardrails behind them, whether built in-house or on third-party models.</w:t>
      </w:r>
    </w:p>
    <w:p>
      <w:pPr>
        <w:spacing w:after="120"/>
      </w:pPr>
      <w:r>
        <w:t xml:space="preserve">Out of scope: conventional software outages with no AI-behavior component (use the standard SRE process), and infrastructure security incidents with no AI dimension (use the security IR plan).</w:t>
      </w:r>
    </w:p>
    <w:p>
      <w:pPr>
        <w:spacing w:after="120"/>
      </w:pPr>
      <w:r>
        <w:rPr>
          <w:b/>
          <w:bCs/>
        </w:rPr>
        <w:t xml:space="preserve">Definition. </w:t>
      </w:r>
      <w:r>
        <w:t xml:space="preserve">An AI incident is any event in which an AI system produces, enables, or amplifies output or behavior that causes (or plausibly could cause) harm to users, third parties, or the organization — including discriminatory outcomes, unsafe content, materially false statements, or successful circumvention of safety controls.</w:t>
      </w:r>
    </w:p>
    <w:p>
      <w:pPr>
        <w:pStyle w:val="Heading1"/>
      </w:pPr>
      <w:r>
        <w:t xml:space="preserve">2. AI Incident Categories</w:t>
      </w:r>
    </w:p>
    <w:p>
      <w:pPr>
        <w:spacing w:after="120"/>
      </w:pPr>
      <w:r>
        <w:t xml:space="preserve">Every incident is tagged with one primary category at triage. Categories drive the containment playbook (Section 6) and the notification requirements (Section 7).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BIAS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Bias / discriminatory outcomes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Systematically worse outputs, refusals, or error rates for a protected group; discriminatory scoring, ranking, or eligibility decisions; stereotyped or demeaning portrayals.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HARM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Harmful or unsafe outputs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Instructions facilitating violence or self-harm; harassment or sexual content involving minors; dangerous medical/legal/financial advice presented as authoritative; toxic content at scale.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HALL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Hallucination / misinformation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Fabricated facts, citations, people, or legal/medical claims presented confidently; false statements about real individuals or companies; fabricated product capabilities or prices.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JAIL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Jailbreak / prompt injection / misuse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 bypassing safety guardrails; indirect prompt injection via retrieved or uploaded content; system prompt extraction; coordinated adversarial abuse of the product.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PRIV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Privacy / data leakage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 reveals personal data, other customers' data, or confidential training/context data; memorized content regurgitation; cross-tenant context bleed.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Degradation / drift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Sudden quality collapse after a model, prompt, or dependency change; safety-filter regression; upstream model provider behavior change breaking guardrails.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If more than one category applies, the primary tag is the one with the highest potential harm; secondary tags are recorded for trend analysis. A jailbreak that produces harmful content is tagged HARM (primary) + JAIL (secondary), because the harm defines the impact and the jailbreak defines the vector.</w:t>
      </w:r>
    </w:p>
    <w:p>
      <w:pPr>
        <w:pStyle w:val="Heading1"/>
      </w:pPr>
      <w:r>
        <w:t xml:space="preserve">3. Severity Levels and Escalation Criteria</w:t>
      </w:r>
    </w:p>
    <w:p>
      <w:pPr>
        <w:spacing w:after="120"/>
      </w:pPr>
      <w:r>
        <w:t xml:space="preserve">Severity is set at triage by the on-call responder, confirmed or revised by the Incident Commander, and re-evaluated whenever material new facts emerge. When in doubt, set severity higher; downgrading is cheap, late escalation is not. The full category-by-severity matrix with SLAs is maintained in the companion spreadsheet (AI_Incident_Severity_Matrix.xlsx).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48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Definition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Escalation triggers (any one suffices)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SEV-1 Critical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Active, widespread, or severe harm; legal/regulatory exposure; existential trust risk.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 to physical safety or minors; discriminatory outcomes in consequential decisions (credit, hiring, health) at scale; confirmed cross-tenant data leak; harmful content going viral; regulator or major-press contact.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SEV-2 High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Serious harm to identifiable users or a reproducible failure of a safety control.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Reproducible jailbreak defeating a core guardrail; defamatory or dangerous hallucinations affecting real parties; bias pattern confirmed in a sensitive feature; PII exposure limited in scope.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SEV-3 Medium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Contained harm, low blast radius, workaround or filter mitigation exists.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Isolated harmful/false outputs with limited reach; jailbreak requiring impractical effort; quality drift degrading trust but not safety.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SEV-4 Low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Minimal harm; cosmetic or edge-case issues.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One-off odd outputs; failed jailbreak attempts worth tracking; minor factual slips with no consequence.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3.1 Automatic upgrade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Minors involved in any harmful-content incident → automatically SEV-1.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incident touching consequential decisions (lending, hiring, housing, healthcare, legal outcomes) starts no lower than SEV-2.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Media inquiry, regulator contact, or legal demand about an open incident → upgrade one level immediately and engage Legal and Comms.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reproducible exploit published publicly (social media, blog, exploit forum) → minimum SEV-2 regardless of observed harm so far.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Recurrence of an incident whose corrective actions were marked complete → one level above the original severity.</w:t>
      </w:r>
    </w:p>
    <w:p>
      <w:pPr>
        <w:pStyle w:val="Heading1"/>
      </w:pPr>
      <w:r>
        <w:t xml:space="preserve">4. Response Roles and Responsibilities</w:t>
      </w:r>
    </w:p>
    <w:p>
      <w:pPr>
        <w:spacing w:after="120"/>
      </w:pPr>
      <w:r>
        <w:t xml:space="preserve">Roles are hats, not job titles: one person may wear several hats on a SEV-3, while a SEV-1 requires distinct people in each role. The Incident Commander assigns every hat explicitly at the start of the response.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Engaged at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Incident Commander (IC)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Owns the incident end to end: confirms severity, assigns roles, drives decisions, arbitrates trade-offs (e.g., kill switch vs. availability), owns the timeline record, calls incident end.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severities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On-call AI Responder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responder from the AI/ML on-call rotation. Triages reports, reproduces the failure, applies first-line mitigations (filter rules, prompt patch, model rollback), pages the IC.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severities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ML/Model Lead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Root-causes model behavior; owns model-side fixes: prompt changes, fine-tune rollback, guardrail retraining, evaluation of fix efficacy before redeploy.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SEV-1/2, on request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Trust &amp; Safety Lead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Assesses user harm; owns victim-side actions (user outreach, content takedown, account enforcement against abusers); liaises with policy team on rule gaps.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SEV-1/2 and all HARM/BIAS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Communications Lead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Owns all external wording: status page, user notices, press statements, social response. Nothing external ships without Comms sign-off on SEV-1/2.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SEV-1/2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Legal / Privacy Counsel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Determines notification obligations (privacy regulators, AI-specific regulation, contractual commitments); privilege review of incident documents; approves external statements.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SEV-1/2 and all PRIV/BIAS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Executive Sponsor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Informed on SEV-1 within one hour; approves decisions with major business impact (full product shutdown, regulator self-report, public disclosure).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SEV-1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Scribe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Maintains the real-time incident log: timestamps, decisions, evidence links. Mandatory on SEV-1/2 — the postmortem depends on it.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SEV-1/2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4.1 On-call schedule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on-call rotation: one primary and one secondary AI Responder, 24/7, weekly rotation, handoff Mondays 10:00 local. Secondary is paged if primary does not acknowledge within 15 minutes.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 rotation: a trained IC pool (minimum 4 people) on weekly rotation. ICs must complete incident-command training and shadow one live or simulated incident before entering the pool.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Specialist escalation: ML Lead, T&amp;S Lead, Legal, and Comms maintain business-hours availability plus a documented after-hours emergency contact path for SEV-1.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Contact roster: maintained in the paging tool as the single source of truth; reviewed monthly; a printed/offline copy is kept for tool-outage scenarios.</w:t>
      </w:r>
    </w:p>
    <w:p>
      <w:pPr>
        <w:pStyle w:val="Heading1"/>
      </w:pPr>
      <w:r>
        <w:t xml:space="preserve">5. Response Process and Timelines</w:t>
      </w:r>
    </w:p>
    <w:p>
      <w:pPr>
        <w:spacing w:after="120"/>
      </w:pPr>
      <w:r>
        <w:t xml:space="preserve">Six phases. Target clocks by severity: SEV-1 — acknowledge 15 min, IC engaged 30 min, containment decision 1 h, first user/public comms 4 h. SEV-2 — acknowledge 30 min, containment 4 h, comms same business day. SEV-3 — acknowledge 4 business hours, resolution plan 3 business days. SEV-4 — logged and batched into weekly review.</w:t>
      </w:r>
    </w:p>
    <w:p>
      <w:pPr>
        <w:pStyle w:val="Heading2"/>
      </w:pPr>
      <w:r>
        <w:t xml:space="preserve">5.1 Detect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Inputs: automated safety-eval alerts and output classifiers, user reports (in-product flag, support tickets), employee reports (dedicated Slack channel #ai-incidents), external reports (security@/ai-safety@ inbox, social listening), and provider notifications for third-party models.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detection path routes to the AI on-call pager. No report is triaged by whoever happens to see it first — it goes through on-call so nothing is dropped.</w:t>
      </w:r>
    </w:p>
    <w:p>
      <w:pPr>
        <w:pStyle w:val="Heading2"/>
      </w:pPr>
      <w:r>
        <w:t xml:space="preserve">5.2 Triage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On-call reproduces the behavior where possible, captures evidence (prompts, outputs, model/version, timestamps, affected users), assigns category and provisional severity, and opens an incident ticket.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SEV-1/2: page the IC immediately. SEV-3/4: ticket queued to the AI safety triage board, reviewed daily.</w:t>
      </w:r>
    </w:p>
    <w:p>
      <w:pPr>
        <w:pStyle w:val="Heading2"/>
      </w:pPr>
      <w:r>
        <w:t xml:space="preserve">5.3 Contain</w:t>
      </w:r>
    </w:p>
    <w:p>
      <w:pPr>
        <w:spacing w:after="120"/>
      </w:pPr>
      <w:r>
        <w:t xml:space="preserve">Containment limits ongoing harm before root cause is known. Options in rough order of increasing cost: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or tighten an output/input filter rule targeting the failure pattern.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Patch the system prompt or disable the affected tool/retrieval source.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Roll back to the last known-good model, prompt, or configuration version.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Disable the affected feature for a segment (geography, tenant, use case).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Activate the model kill switch: disable the AI feature entirely, with graceful degradation messaging to users.</w:t>
      </w:r>
    </w:p>
    <w:p>
      <w:pPr>
        <w:spacing w:after="120"/>
      </w:pPr>
      <w:r>
        <w:t xml:space="preserve">The IC owns the containment decision. For SEV-1, if containment is not achieved within 1 hour, default to the kill switch unless the Executive Sponsor explicitly accepts the risk of continued operation.</w:t>
      </w:r>
    </w:p>
    <w:p>
      <w:pPr>
        <w:pStyle w:val="Heading2"/>
      </w:pPr>
      <w:r>
        <w:t xml:space="preserve">5.4 Investigate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Establish root cause across the full stack: training data, fine-tuning, system prompt, retrieval content, guardrail configuration, upstream provider change, or adversarial input.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Quantify blast radius: query logs for how many users/sessions hit the failure pattern, over what period. This number drives notification decisions.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Preserve evidence under Legal's direction: immutable copies of prompts, outputs, model versions, config, and logs. Assume regulators or litigants may request them.</w:t>
      </w:r>
    </w:p>
    <w:p>
      <w:pPr>
        <w:pStyle w:val="Heading2"/>
      </w:pPr>
      <w:r>
        <w:t xml:space="preserve">5.5 Remediate and communicate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Ship the durable fix (model update, guardrail improvement, data fix) with pre-deployment evaluation demonstrating the failure no longer reproduces and no regression is introduced on the standard safety eval suite.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Notify affected users where harm or exposure occurred, per Legal's determination; be specific about what happened and what was done. Comms owns wording, Legal approves, IC ships.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Fulfil regulatory notifications within statutory deadlines (privacy authorities, AI-specific regulators where applicable, contractual commitments to enterprise customers).</w:t>
      </w:r>
    </w:p>
    <w:p>
      <w:pPr>
        <w:pStyle w:val="Heading2"/>
      </w:pPr>
      <w:r>
        <w:t xml:space="preserve">5.6 Review</w:t>
      </w:r>
    </w:p>
    <w:p>
      <w:pPr>
        <w:spacing w:after="120"/>
      </w:pPr>
      <w:r>
        <w:t xml:space="preserve">Every SEV-1/2 gets a blameless postmortem within 5 business days of resolution (10 for complex incidents), using the standard template (AI_Incident_Postmortem_Template.docx). SEV-3s are reviewed in a weekly batch; SEV-4s feed trend analysis quarterly. Corrective actions get owners and due dates, tracked to closure — an incident is not finished until its actions are.</w:t>
      </w:r>
    </w:p>
    <w:p>
      <w:pPr>
        <w:pStyle w:val="Heading1"/>
      </w:pPr>
      <w:r>
        <w:t xml:space="preserve">6. Category Playbooks (First-Hour Actions)</w:t>
      </w:r>
    </w:p>
    <w:p>
      <w:pPr>
        <w:pStyle w:val="Heading2"/>
      </w:pPr>
      <w:r>
        <w:t xml:space="preserve">BIAS — Bias / discriminatory outcomes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Reproduce with controlled comparisons (identical prompts varying only the protected attribute); capture evidence.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Determine whether a consequential decision system is affected — if so, SEV-2 minimum and Legal engaged immediately.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Contain: suspend the affected decision flow or add human review; do not silently keep operating a system making discriminatory consequential decisions.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Quantify: run the bias eval suite across affected segments to size the disparity and time window.</w:t>
      </w:r>
    </w:p>
    <w:p>
      <w:pPr>
        <w:pStyle w:val="Heading2"/>
      </w:pPr>
      <w:r>
        <w:t xml:space="preserve">HARM — Harmful or unsafe outputs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Capture the exact output and generation context; if content involves minors or credible threats, escalate to SEV-1 and follow the mandatory-reporting procedure via Legal.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Contain: block the failure pattern in output filters; take down harmful content wherever it was published or delivered.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T&amp;S assesses user harm and initiates outreach/support for affected users where appropriate.</w:t>
      </w:r>
    </w:p>
    <w:p>
      <w:pPr>
        <w:pStyle w:val="Heading2"/>
      </w:pPr>
      <w:r>
        <w:t xml:space="preserve">HALL — Hallucination / misinformation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Verify the output is actually false (subject-matter check), and whether it defames a real person or entity — if so, engage Legal same day.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Assess systemic vs. one-off: query logs for the same false claim across sessions.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Contain: correct or suppress the claim (filter, prompt patch, retrieval fix); issue corrections to users who received materially harmful false information.</w:t>
      </w:r>
    </w:p>
    <w:p>
      <w:pPr>
        <w:pStyle w:val="Heading2"/>
      </w:pPr>
      <w:r>
        <w:t xml:space="preserve">JAIL — Jailbreak / prompt injection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Reproduce the exploit; classify vector (direct prompt, indirect injection via retrieved/uploaded content, multi-turn manipulation).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Contain: patch guardrails against the specific vector; rate-limit or suspend abusing accounts; if injection is via retrieved content, quarantine the content source.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 whether the technique is published publicly — if yes, minimum SEV-2 and expect copycats; monitor for exploitation at scale.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third-party model weaknesses, report to the model provider through their disclosure channel.</w:t>
      </w:r>
    </w:p>
    <w:p>
      <w:pPr>
        <w:pStyle w:val="Heading2"/>
      </w:pPr>
      <w:r>
        <w:t xml:space="preserve">PRIV — Privacy / data leakage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Treat as a joint AI + security incident; engage the security IR process and privacy counsel immediately.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Contain: block the leaking pathway; purge leaked data from caches, logs, and downstream systems where feasible.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Scope exactly whose data was exposed to whom; regulatory notification clocks may already be running.</w:t>
      </w:r>
    </w:p>
    <w:p>
      <w:pPr>
        <w:pStyle w:val="Heading2"/>
      </w:pPr>
      <w:r>
        <w:t xml:space="preserve">PERF — Degradation / drift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Identify the change: recent deploy, prompt edit, upstream provider model update, data pipeline shift.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Contain: roll back to last known-good configuration; pin provider model versions where possible.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Verify safety evals still pass — quality drift often accompanies safety regression.</w:t>
      </w:r>
    </w:p>
    <w:p>
      <w:pPr>
        <w:pStyle w:val="Heading1"/>
      </w:pPr>
      <w:r>
        <w:t xml:space="preserve">7. Communication Protocols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Internal: SEV-1/2 incidents run in a dedicated channel (#inc-&lt;id&gt;); IC posts status updates hourly (SEV-1) or twice daily (SEV-2) until containment, then daily until resolution.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Executive: SEV-1 briefed to Executive Sponsor within 1 hour of declaration and at each major development.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External: single voice — only Comms-approved statements. Employees are reminded not to discuss open incidents publicly, including on social media.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Users: notify when they were materially harmed, exposed, or misled, not merely when the organization is embarrassed. Err toward transparency; vague non-explanations damage trust more than the incident.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Honesty rule: never publicly deny something the investigation has confirmed, and never attribute AI failures to “isolated glitches” without evidence.</w:t>
      </w:r>
    </w:p>
    <w:p>
      <w:pPr>
        <w:pStyle w:val="Heading1"/>
      </w:pPr>
      <w:r>
        <w:t xml:space="preserve">8. Preparedness and Plan Maintenance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Drills: at least two AI-incident tabletop exercises per year, covering different categories (e.g., one BIAS in a consequential system, one public JAIL with viral exposure). Findings feed plan revisions.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Tooling checklist kept ready: kill switch tested quarterly; model/prompt rollback tested with each release; filter rule deployment path exercised monthly; log retention sufficient to reconstruct 90 days of generations.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Training: all engineers on AI products get incident-reporting training at onboarding; IC pool re-certifies annually.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 review: this document is reviewed every 6 months, after every SEV-1, and upon material regulatory change. Owner: Head of AI Safety (or delegate).</w:t>
      </w:r>
    </w:p>
    <w:p>
      <w:pPr>
        <w:pStyle w:val="Heading1"/>
      </w:pPr>
      <w:r>
        <w:t xml:space="preserve">Appendix A. Quick Reference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Situation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 this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 see harmful/biased/false AI output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Screenshot + save the prompt, report in #ai-incidents or page AI on-call. Do not experiment further on production if harm is ongoing.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 found a jailbreak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 not post it anywhere. Report to AI on-call with reproduction steps.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Press/regulator contacts you about AI behavior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 not answer substantively. Route to Comms/Legal immediately and inform the IC if an incident is open.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reports AI harmed them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Acknowledge, do not admit fault or speculate, escalate to T&amp;S via on-call.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Uncertain whether it's an incident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 it anyway. On-call triages; false alarms are free, missed incidents are not.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AI Incident Response Plan —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2026-07-01T20:33:10.211Z</dcterms:created>
  <dcterms:modified xsi:type="dcterms:W3CDTF">2026-07-01T20:33:10.211Z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