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40" w:before="0"/>
        <w:jc w:val="center"/>
      </w:pPr>
      <w:r>
        <w:rPr>
          <w:rFonts w:ascii="Arial" w:cs="Arial" w:eastAsia="Arial" w:hAnsi="Arial"/>
          <w:b/>
          <w:bCs/>
          <w:color w:val="1F4E79"/>
          <w:sz w:val="52"/>
          <w:szCs w:val="52"/>
        </w:rPr>
        <w:t xml:space="preserve">LLM Evaluation Suite</w:t>
      </w:r>
    </w:p>
    <w:p>
      <w:pPr>
        <w:spacing w:after="80" w:before="0"/>
        <w:jc w:val="center"/>
      </w:pPr>
      <w:r>
        <w:rPr>
          <w:rFonts w:ascii="Arial" w:cs="Arial" w:eastAsia="Arial" w:hAnsi="Arial"/>
          <w:color w:val="2E75B6"/>
          <w:sz w:val="36"/>
          <w:szCs w:val="36"/>
        </w:rPr>
        <w:t xml:space="preserve">Methodology Document</w:t>
      </w:r>
    </w:p>
    <w:p>
      <w:pPr>
        <w:pBdr>
          <w:bottom w:val="single" w:color="2E75B6" w:sz="8" w:space="1"/>
        </w:pBdr>
        <w:spacing w:after="0" w:before="0"/>
        <w:jc w:val="center"/>
      </w:pPr>
      <w:r>
        <w:rPr>
          <w:rFonts w:ascii="Arial" w:cs="Arial" w:eastAsia="Arial" w:hAnsi="Arial"/>
          <w:color w:val="595959"/>
          <w:sz w:val="22"/>
          <w:szCs w:val="22"/>
        </w:rPr>
        <w:t xml:space="preserve">Version 1.0  |  June 2026</w:t>
      </w:r>
    </w:p>
    <w:p>
      <w:pPr>
        <w:spacing w:after="80" w:before="0"/>
      </w:pPr>
      <w:r>
        <w:t xml:space="preserve"/>
      </w:r>
    </w:p>
    <w:p>
      <w:pPr>
        <w:spacing w:after="80" w:before="0"/>
      </w:pPr>
      <w:r>
        <w:t xml:space="preserve"/>
      </w:r>
    </w:p>
    <w:p>
      <w:pPr>
        <w:shd w:fill="D6E4F0" w:val="clear"/>
        <w:spacing w:after="160" w:before="160"/>
        <w:ind w:left="360" w:right="360"/>
      </w:pPr>
      <w:r>
        <w:rPr>
          <w:rFonts w:ascii="Arial" w:cs="Arial" w:eastAsia="Arial" w:hAnsi="Arial"/>
          <w:i/>
          <w:iCs/>
          <w:color w:val="1F4E79"/>
          <w:sz w:val="21"/>
          <w:szCs w:val="21"/>
        </w:rPr>
        <w:t xml:space="preserve">This document describes the design, scoring architecture, and quality dimensions of the LLM Evaluation Suite — a framework for measuring the quality of large language model responses across three production-critical domains: customer support, summarization, and coding. It covers test case design, dual-scoring methodology (deterministic rubric + LLM-as-judge), composite score interpretation, and known limitations.</w:t>
      </w:r>
    </w:p>
    <w:p>
      <w:pPr>
        <w:spacing w:after="80" w:before="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 Overview</w:t>
      </w:r>
    </w:p>
    <w:p>
      <w:pPr>
        <w:spacing w:after="80" w:before="60"/>
      </w:pPr>
      <w:r>
        <w:rPr>
          <w:rFonts w:ascii="Arial" w:cs="Arial" w:eastAsia="Arial" w:hAnsi="Arial"/>
          <w:color w:val="595959"/>
          <w:sz w:val="22"/>
          <w:szCs w:val="22"/>
        </w:rPr>
        <w:t xml:space="preserve">This eval suite measures the quality of LLM responses across three high-value use cases: customer support, summarization, and coding. It combines two complementary scoring mechanisms — deterministic rubric checks and LLM-as-judge — to produce a composite score per case and aggregate metrics per domain.</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2. Use Case Selection and Rationale</w:t>
      </w:r>
    </w:p>
    <w:p>
      <w:pPr>
        <w:spacing w:after="80" w:before="60"/>
      </w:pPr>
      <w:r>
        <w:rPr>
          <w:rFonts w:ascii="Arial" w:cs="Arial" w:eastAsia="Arial" w:hAnsi="Arial"/>
          <w:color w:val="595959"/>
          <w:sz w:val="22"/>
          <w:szCs w:val="22"/>
        </w:rPr>
        <w:t xml:space="preserve">Each domain was chosen because it (a) has a clear quality bar, (b) is common in production LLM deployments, and (c) benefits from different evaluation dimensions.</w:t>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48"/>
      </w:tblGrid>
      <w:tr>
        <w:trPr>
          <w:tblHeader/>
        </w:trP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Domain</w:t>
            </w:r>
          </w:p>
        </w:tc>
        <w:tc>
          <w:tcPr>
            <w:tcW w:type="dxa" w:w="4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Business Value</w:t>
            </w:r>
          </w:p>
        </w:tc>
        <w:tc>
          <w:tcPr>
            <w:tcW w:type="dxa" w:w="3248"/>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Primary Risk</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Support</w:t>
            </w:r>
          </w:p>
        </w:tc>
        <w:tc>
          <w:tcPr>
            <w:tcW w:type="dxa" w:w="42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High-volume, customer-facing; tone and accuracy errors damage trust</w:t>
            </w:r>
          </w:p>
        </w:tc>
        <w:tc>
          <w:tcPr>
            <w:tcW w:type="dxa" w:w="32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False promises, dismissive tone, safety mishandling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Summarization</w:t>
            </w:r>
          </w:p>
        </w:tc>
        <w:tc>
          <w:tcPr>
            <w:tcW w:type="dxa" w:w="42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Reduces information overload; feeds downstream decisions</w:t>
            </w:r>
          </w:p>
        </w:tc>
        <w:tc>
          <w:tcPr>
            <w:tcW w:type="dxa" w:w="32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Hallucination, coverage gaps, distortion of nuance</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Coding</w:t>
            </w:r>
          </w:p>
        </w:tc>
        <w:tc>
          <w:tcPr>
            <w:tcW w:type="dxa" w:w="42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Developer productivity multiplier</w:t>
            </w:r>
          </w:p>
        </w:tc>
        <w:tc>
          <w:tcPr>
            <w:tcW w:type="dxa" w:w="32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Logic errors, insecure code, missing edge cases</w:t>
            </w:r>
          </w:p>
        </w:tc>
      </w:tr>
    </w:tbl>
    <w:p>
      <w:pPr>
        <w:spacing w:after="80" w:before="0"/>
      </w:pPr>
      <w:r>
        <w:t xml:space="preserve"/>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3. Test Case Design</w:t>
      </w:r>
    </w:p>
    <w:p>
      <w:pPr>
        <w:pStyle w:val="Heading2"/>
        <w:spacing w:after="120" w:before="240"/>
      </w:pPr>
      <w:r>
        <w:rPr>
          <w:rFonts w:ascii="Arial" w:cs="Arial" w:eastAsia="Arial" w:hAnsi="Arial"/>
          <w:b/>
          <w:bCs/>
          <w:color w:val="2E75B6"/>
          <w:sz w:val="26"/>
          <w:szCs w:val="26"/>
        </w:rPr>
        <w:t xml:space="preserve">3.1  Coverage Matrix</w:t>
      </w:r>
    </w:p>
    <w:p>
      <w:pPr>
        <w:spacing w:after="80" w:before="60"/>
      </w:pPr>
      <w:r>
        <w:rPr>
          <w:rFonts w:ascii="Arial" w:cs="Arial" w:eastAsia="Arial" w:hAnsi="Arial"/>
          <w:color w:val="595959"/>
          <w:sz w:val="22"/>
          <w:szCs w:val="22"/>
        </w:rPr>
        <w:t xml:space="preserve">The suite contains 55 test cases distributed across difficulty levels:</w:t>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50"/>
        <w:gridCol w:w="1500"/>
        <w:gridCol w:w="1600"/>
        <w:gridCol w:w="1198"/>
      </w:tblGrid>
      <w:tr>
        <w:trPr>
          <w:tblHeader/>
        </w:trPr>
        <w:tc>
          <w:tcPr>
            <w:tcW w:type="dxa" w:w="2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Domain</w:t>
            </w:r>
          </w:p>
        </w:tc>
        <w:tc>
          <w:tcPr>
            <w:tcW w:type="dxa" w:w="15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Total</w:t>
            </w:r>
          </w:p>
        </w:tc>
        <w:tc>
          <w:tcPr>
            <w:tcW w:type="dxa" w:w="145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Easy</w:t>
            </w:r>
          </w:p>
        </w:tc>
        <w:tc>
          <w:tcPr>
            <w:tcW w:type="dxa" w:w="15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Medium</w:t>
            </w:r>
          </w:p>
        </w:tc>
        <w:tc>
          <w:tcPr>
            <w:tcW w:type="dxa" w:w="16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Hard</w:t>
            </w:r>
          </w:p>
        </w:tc>
        <w:tc>
          <w:tcPr>
            <w:tcW w:type="dxa" w:w="1198"/>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Edge Case</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Support</w:t>
            </w:r>
          </w:p>
        </w:tc>
        <w:tc>
          <w:tcPr>
            <w:tcW w:type="dxa" w:w="15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20</w:t>
            </w:r>
          </w:p>
        </w:tc>
        <w:tc>
          <w:tcPr>
            <w:tcW w:type="dxa" w:w="145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4</w:t>
            </w:r>
          </w:p>
        </w:tc>
        <w:tc>
          <w:tcPr>
            <w:tcW w:type="dxa" w:w="15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8</w:t>
            </w:r>
          </w:p>
        </w:tc>
        <w:tc>
          <w:tcPr>
            <w:tcW w:type="dxa" w:w="16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6</w:t>
            </w:r>
          </w:p>
        </w:tc>
        <w:tc>
          <w:tcPr>
            <w:tcW w:type="dxa" w:w="119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2</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Summarization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17</w:t>
            </w:r>
          </w:p>
        </w:tc>
        <w:tc>
          <w:tcPr>
            <w:tcW w:type="dxa" w:w="145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9</w:t>
            </w:r>
          </w:p>
        </w:tc>
        <w:tc>
          <w:tcPr>
            <w:tcW w:type="dxa" w:w="16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5</w:t>
            </w:r>
          </w:p>
        </w:tc>
        <w:tc>
          <w:tcPr>
            <w:tcW w:type="dxa" w:w="119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1</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Coding</w:t>
            </w:r>
          </w:p>
        </w:tc>
        <w:tc>
          <w:tcPr>
            <w:tcW w:type="dxa" w:w="15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18</w:t>
            </w:r>
          </w:p>
        </w:tc>
        <w:tc>
          <w:tcPr>
            <w:tcW w:type="dxa" w:w="145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4</w:t>
            </w:r>
          </w:p>
        </w:tc>
        <w:tc>
          <w:tcPr>
            <w:tcW w:type="dxa" w:w="15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8</w:t>
            </w:r>
          </w:p>
        </w:tc>
        <w:tc>
          <w:tcPr>
            <w:tcW w:type="dxa" w:w="16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5</w:t>
            </w:r>
          </w:p>
        </w:tc>
        <w:tc>
          <w:tcPr>
            <w:tcW w:type="dxa" w:w="119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center"/>
            </w:pPr>
            <w:r>
              <w:rPr>
                <w:rFonts w:ascii="Arial" w:cs="Arial" w:eastAsia="Arial" w:hAnsi="Arial"/>
                <w:b w:val="false"/>
                <w:bCs w:val="false"/>
                <w:color w:val="595959"/>
                <w:sz w:val="20"/>
                <w:szCs w:val="20"/>
              </w:rPr>
              <w:t xml:space="preserve">1</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Total</w:t>
            </w:r>
          </w:p>
        </w:tc>
        <w:tc>
          <w:tcPr>
            <w:tcW w:type="dxa" w:w="1500"/>
            <w:tcBorders>
              <w:top w:val="single" w:color="BBBBBB" w:sz="1"/>
              <w:left w:val="single" w:color="BBBBBB" w:sz="1"/>
              <w:bottom w:val="single" w:color="BBBBBB" w:sz="1"/>
              <w:right w:val="single" w:color="BBBBBB" w:sz="1"/>
            </w:tcBorders>
            <w:shd w:fill="D6E4F0" w:val="clear"/>
            <w:tcMar>
              <w:top w:type="dxa" w:w="60"/>
              <w:left w:type="dxa" w:w="140"/>
              <w:bottom w:type="dxa" w:w="60"/>
              <w:right w:type="dxa" w:w="140"/>
            </w:tcMar>
            <w:vAlign w:val="center"/>
          </w:tcPr>
          <w:p>
            <w:pPr>
              <w:jc w:val="center"/>
            </w:pPr>
            <w:r>
              <w:rPr>
                <w:rFonts w:ascii="Arial" w:cs="Arial" w:eastAsia="Arial" w:hAnsi="Arial"/>
                <w:b/>
                <w:bCs/>
                <w:color w:val="595959"/>
                <w:sz w:val="20"/>
                <w:szCs w:val="20"/>
              </w:rPr>
              <w:t xml:space="preserve">55</w:t>
            </w:r>
          </w:p>
        </w:tc>
        <w:tc>
          <w:tcPr>
            <w:tcW w:type="dxa" w:w="1450"/>
            <w:tcBorders>
              <w:top w:val="single" w:color="BBBBBB" w:sz="1"/>
              <w:left w:val="single" w:color="BBBBBB" w:sz="1"/>
              <w:bottom w:val="single" w:color="BBBBBB" w:sz="1"/>
              <w:right w:val="single" w:color="BBBBBB" w:sz="1"/>
            </w:tcBorders>
            <w:shd w:fill="D6E4F0" w:val="clear"/>
            <w:tcMar>
              <w:top w:type="dxa" w:w="60"/>
              <w:left w:type="dxa" w:w="140"/>
              <w:bottom w:type="dxa" w:w="60"/>
              <w:right w:type="dxa" w:w="140"/>
            </w:tcMar>
            <w:vAlign w:val="center"/>
          </w:tcPr>
          <w:p>
            <w:pPr>
              <w:jc w:val="center"/>
            </w:pPr>
            <w:r>
              <w:rPr>
                <w:rFonts w:ascii="Arial" w:cs="Arial" w:eastAsia="Arial" w:hAnsi="Arial"/>
                <w:b/>
                <w:bCs/>
                <w:color w:val="595959"/>
                <w:sz w:val="20"/>
                <w:szCs w:val="20"/>
              </w:rPr>
              <w:t xml:space="preserve">10</w:t>
            </w:r>
          </w:p>
        </w:tc>
        <w:tc>
          <w:tcPr>
            <w:tcW w:type="dxa" w:w="1500"/>
            <w:tcBorders>
              <w:top w:val="single" w:color="BBBBBB" w:sz="1"/>
              <w:left w:val="single" w:color="BBBBBB" w:sz="1"/>
              <w:bottom w:val="single" w:color="BBBBBB" w:sz="1"/>
              <w:right w:val="single" w:color="BBBBBB" w:sz="1"/>
            </w:tcBorders>
            <w:shd w:fill="D6E4F0" w:val="clear"/>
            <w:tcMar>
              <w:top w:type="dxa" w:w="60"/>
              <w:left w:type="dxa" w:w="140"/>
              <w:bottom w:type="dxa" w:w="60"/>
              <w:right w:type="dxa" w:w="140"/>
            </w:tcMar>
            <w:vAlign w:val="center"/>
          </w:tcPr>
          <w:p>
            <w:pPr>
              <w:jc w:val="center"/>
            </w:pPr>
            <w:r>
              <w:rPr>
                <w:rFonts w:ascii="Arial" w:cs="Arial" w:eastAsia="Arial" w:hAnsi="Arial"/>
                <w:b/>
                <w:bCs/>
                <w:color w:val="595959"/>
                <w:sz w:val="20"/>
                <w:szCs w:val="20"/>
              </w:rPr>
              <w:t xml:space="preserve">25</w:t>
            </w:r>
          </w:p>
        </w:tc>
        <w:tc>
          <w:tcPr>
            <w:tcW w:type="dxa" w:w="1600"/>
            <w:tcBorders>
              <w:top w:val="single" w:color="BBBBBB" w:sz="1"/>
              <w:left w:val="single" w:color="BBBBBB" w:sz="1"/>
              <w:bottom w:val="single" w:color="BBBBBB" w:sz="1"/>
              <w:right w:val="single" w:color="BBBBBB" w:sz="1"/>
            </w:tcBorders>
            <w:shd w:fill="D6E4F0" w:val="clear"/>
            <w:tcMar>
              <w:top w:type="dxa" w:w="60"/>
              <w:left w:type="dxa" w:w="140"/>
              <w:bottom w:type="dxa" w:w="60"/>
              <w:right w:type="dxa" w:w="140"/>
            </w:tcMar>
            <w:vAlign w:val="center"/>
          </w:tcPr>
          <w:p>
            <w:pPr>
              <w:jc w:val="center"/>
            </w:pPr>
            <w:r>
              <w:rPr>
                <w:rFonts w:ascii="Arial" w:cs="Arial" w:eastAsia="Arial" w:hAnsi="Arial"/>
                <w:b/>
                <w:bCs/>
                <w:color w:val="595959"/>
                <w:sz w:val="20"/>
                <w:szCs w:val="20"/>
              </w:rPr>
              <w:t xml:space="preserve">16</w:t>
            </w:r>
          </w:p>
        </w:tc>
        <w:tc>
          <w:tcPr>
            <w:tcW w:type="dxa" w:w="1198"/>
            <w:tcBorders>
              <w:top w:val="single" w:color="BBBBBB" w:sz="1"/>
              <w:left w:val="single" w:color="BBBBBB" w:sz="1"/>
              <w:bottom w:val="single" w:color="BBBBBB" w:sz="1"/>
              <w:right w:val="single" w:color="BBBBBB" w:sz="1"/>
            </w:tcBorders>
            <w:shd w:fill="D6E4F0" w:val="clear"/>
            <w:tcMar>
              <w:top w:type="dxa" w:w="60"/>
              <w:left w:type="dxa" w:w="140"/>
              <w:bottom w:type="dxa" w:w="60"/>
              <w:right w:type="dxa" w:w="140"/>
            </w:tcMar>
            <w:vAlign w:val="center"/>
          </w:tcPr>
          <w:p>
            <w:pPr>
              <w:jc w:val="center"/>
            </w:pPr>
            <w:r>
              <w:rPr>
                <w:rFonts w:ascii="Arial" w:cs="Arial" w:eastAsia="Arial" w:hAnsi="Arial"/>
                <w:b/>
                <w:bCs/>
                <w:color w:val="595959"/>
                <w:sz w:val="20"/>
                <w:szCs w:val="20"/>
              </w:rPr>
              <w:t xml:space="preserve">4</w:t>
            </w:r>
          </w:p>
        </w:tc>
      </w:tr>
    </w:tbl>
    <w:p>
      <w:pPr>
        <w:spacing w:after="80" w:before="0"/>
      </w:pPr>
      <w:r>
        <w:t xml:space="preserve"/>
      </w:r>
    </w:p>
    <w:p>
      <w:pPr>
        <w:pStyle w:val="Heading2"/>
        <w:spacing w:after="120" w:before="240"/>
      </w:pPr>
      <w:r>
        <w:rPr>
          <w:rFonts w:ascii="Arial" w:cs="Arial" w:eastAsia="Arial" w:hAnsi="Arial"/>
          <w:b/>
          <w:bCs/>
          <w:color w:val="2E75B6"/>
          <w:sz w:val="26"/>
          <w:szCs w:val="26"/>
        </w:rPr>
        <w:t xml:space="preserve">3.2  Scenario Types</w:t>
      </w:r>
    </w:p>
    <w:p>
      <w:pPr>
        <w:pStyle w:val="Heading3"/>
        <w:spacing w:after="80" w:before="120"/>
      </w:pPr>
      <w:r>
        <w:rPr>
          <w:rFonts w:ascii="Arial" w:cs="Arial" w:eastAsia="Arial" w:hAnsi="Arial"/>
          <w:b/>
          <w:bCs/>
          <w:color w:val="595959"/>
          <w:sz w:val="22"/>
          <w:szCs w:val="22"/>
        </w:rPr>
        <w:t xml:space="preserve">Support</w:t>
      </w:r>
    </w:p>
    <w:p>
      <w:pPr>
        <w:spacing w:after="80" w:before="60"/>
      </w:pPr>
      <w:r>
        <w:rPr>
          <w:rFonts w:ascii="Arial" w:cs="Arial" w:eastAsia="Arial" w:hAnsi="Arial"/>
          <w:color w:val="595959"/>
          <w:sz w:val="22"/>
          <w:szCs w:val="22"/>
        </w:rPr>
        <w:t xml:space="preserve">Standard complaint, billing dispute, FAQ, escalation request, system outage, refund/return, privacy/data deletion, competitor comparison, subscription cancel, technical troubleshooting, wrong item. Edge cases include: hostile customer, emotional distress (bereavement), safety incident (child choking hazard), false accusation of fraud, ambiguous request, policy exception.</w:t>
      </w:r>
    </w:p>
    <w:p>
      <w:pPr>
        <w:pStyle w:val="Heading3"/>
        <w:spacing w:after="80" w:before="120"/>
      </w:pPr>
      <w:r>
        <w:rPr>
          <w:rFonts w:ascii="Arial" w:cs="Arial" w:eastAsia="Arial" w:hAnsi="Arial"/>
          <w:b/>
          <w:bCs/>
          <w:color w:val="595959"/>
          <w:sz w:val="22"/>
          <w:szCs w:val="22"/>
        </w:rPr>
        <w:t xml:space="preserve">Summarization</w:t>
      </w:r>
    </w:p>
    <w:p>
      <w:pPr>
        <w:spacing w:after="80" w:before="60"/>
      </w:pPr>
      <w:r>
        <w:rPr>
          <w:rFonts w:ascii="Arial" w:cs="Arial" w:eastAsia="Arial" w:hAnsi="Arial"/>
          <w:color w:val="595959"/>
          <w:sz w:val="22"/>
          <w:szCs w:val="22"/>
        </w:rPr>
        <w:t xml:space="preserve">News article, meeting transcript → action items, legal clause, technical paper abstract, email chain, one-sentence constraint, bullet format, financial earnings, medical leaflet, social media thread. Edge cases include: contradictory source material, very short/degenerate input, impossible constraint (one word), multi-document synthesis.</w:t>
      </w:r>
    </w:p>
    <w:p>
      <w:pPr>
        <w:pStyle w:val="Heading3"/>
        <w:spacing w:after="80" w:before="120"/>
      </w:pPr>
      <w:r>
        <w:rPr>
          <w:rFonts w:ascii="Arial" w:cs="Arial" w:eastAsia="Arial" w:hAnsi="Arial"/>
          <w:b/>
          <w:bCs/>
          <w:color w:val="595959"/>
          <w:sz w:val="22"/>
          <w:szCs w:val="22"/>
        </w:rPr>
        <w:t xml:space="preserve">Coding</w:t>
      </w:r>
    </w:p>
    <w:p>
      <w:pPr>
        <w:spacing w:after="80" w:before="60"/>
      </w:pPr>
      <w:r>
        <w:rPr>
          <w:rFonts w:ascii="Arial" w:cs="Arial" w:eastAsia="Arial" w:hAnsi="Arial"/>
          <w:color w:val="595959"/>
          <w:sz w:val="22"/>
          <w:szCs w:val="22"/>
        </w:rPr>
        <w:t xml:space="preserve">Function generation, debugging (logic error, off-by-one, missing await), code explanation, SQL generation, React hook, refactoring, unit test writing, regex, binary search, context manager, Bash script, pandas data cleaning. Edge cases include: SQL injection vulnerability review, MD5 password hashing (safe alternative required).</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3.3  Edge Case Design Principles</w:t>
      </w:r>
    </w:p>
    <w:p>
      <w:pPr>
        <w:spacing w:after="80" w:before="60"/>
      </w:pPr>
      <w:r>
        <w:rPr>
          <w:rFonts w:ascii="Arial" w:cs="Arial" w:eastAsia="Arial" w:hAnsi="Arial"/>
          <w:color w:val="595959"/>
          <w:sz w:val="22"/>
          <w:szCs w:val="22"/>
        </w:rPr>
        <w:t xml:space="preserve">Edge cases target model failure modes that are hard to spot in typical benchmarks:</w:t>
      </w:r>
    </w:p>
    <w:p>
      <w:pPr>
        <w:pStyle w:val="ListParagraph"/>
        <w:numPr>
          <w:ilvl w:val="0"/>
          <w:numId w:val="2"/>
        </w:numPr>
        <w:spacing w:after="40" w:before="40"/>
      </w:pPr>
      <w:r>
        <w:rPr>
          <w:rFonts w:ascii="Arial" w:cs="Arial" w:eastAsia="Arial" w:hAnsi="Arial"/>
          <w:color w:val="595959"/>
          <w:sz w:val="22"/>
          <w:szCs w:val="22"/>
        </w:rPr>
        <w:t xml:space="preserve">Degenerate inputs — tests graceful handling of empty or minimal source material.</w:t>
      </w:r>
    </w:p>
    <w:p>
      <w:pPr>
        <w:pStyle w:val="ListParagraph"/>
        <w:numPr>
          <w:ilvl w:val="0"/>
          <w:numId w:val="2"/>
        </w:numPr>
        <w:spacing w:after="40" w:before="40"/>
      </w:pPr>
      <w:r>
        <w:rPr>
          <w:rFonts w:ascii="Arial" w:cs="Arial" w:eastAsia="Arial" w:hAnsi="Arial"/>
          <w:color w:val="595959"/>
          <w:sz w:val="22"/>
          <w:szCs w:val="22"/>
        </w:rPr>
        <w:t xml:space="preserve">Hostile / emotional users — tests tone regulation under adversarial conditions.</w:t>
      </w:r>
    </w:p>
    <w:p>
      <w:pPr>
        <w:pStyle w:val="ListParagraph"/>
        <w:numPr>
          <w:ilvl w:val="0"/>
          <w:numId w:val="2"/>
        </w:numPr>
        <w:spacing w:after="40" w:before="40"/>
      </w:pPr>
      <w:r>
        <w:rPr>
          <w:rFonts w:ascii="Arial" w:cs="Arial" w:eastAsia="Arial" w:hAnsi="Arial"/>
          <w:color w:val="595959"/>
          <w:sz w:val="22"/>
          <w:szCs w:val="22"/>
        </w:rPr>
        <w:t xml:space="preserve">Impossible constraints — tests honest acknowledgement vs. silent violation.</w:t>
      </w:r>
    </w:p>
    <w:p>
      <w:pPr>
        <w:pStyle w:val="ListParagraph"/>
        <w:numPr>
          <w:ilvl w:val="0"/>
          <w:numId w:val="2"/>
        </w:numPr>
        <w:spacing w:after="40" w:before="40"/>
      </w:pPr>
      <w:r>
        <w:rPr>
          <w:rFonts w:ascii="Arial" w:cs="Arial" w:eastAsia="Arial" w:hAnsi="Arial"/>
          <w:color w:val="595959"/>
          <w:sz w:val="22"/>
          <w:szCs w:val="22"/>
        </w:rPr>
        <w:t xml:space="preserve">Safety-sensitive requests — tests whether the model redirects harmful patterns (e.g., MD5 for passwords, SQL injection) rather than complying.</w:t>
      </w:r>
    </w:p>
    <w:p>
      <w:pPr>
        <w:pStyle w:val="ListParagraph"/>
        <w:numPr>
          <w:ilvl w:val="0"/>
          <w:numId w:val="2"/>
        </w:numPr>
        <w:spacing w:after="40" w:before="40"/>
      </w:pPr>
      <w:r>
        <w:rPr>
          <w:rFonts w:ascii="Arial" w:cs="Arial" w:eastAsia="Arial" w:hAnsi="Arial"/>
          <w:color w:val="595959"/>
          <w:sz w:val="22"/>
          <w:szCs w:val="22"/>
        </w:rPr>
        <w:t xml:space="preserve">Contradictory information — tests whether the model presents both sides or cherry-picks.</w:t>
      </w:r>
    </w:p>
    <w:p>
      <w:pPr>
        <w:spacing w:after="80" w:before="0"/>
      </w:pPr>
      <w:r>
        <w:t xml:space="preserve"/>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4. Quality Dimensions</w:t>
      </w:r>
    </w:p>
    <w:p>
      <w:pPr>
        <w:spacing w:after="80" w:before="60"/>
      </w:pPr>
      <w:r>
        <w:rPr>
          <w:rFonts w:ascii="Arial" w:cs="Arial" w:eastAsia="Arial" w:hAnsi="Arial"/>
          <w:color w:val="595959"/>
          <w:sz w:val="22"/>
          <w:szCs w:val="22"/>
        </w:rPr>
        <w:t xml:space="preserve">Each domain is evaluated on 4–5 dimensions. Dimensions were chosen to be orthogonal (one dimension failing does not automatically cause another to fail) and actionable (a low score clearly indicates what to improve).</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4.1  Support (5 dimensions)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Dimension</w:t>
            </w:r>
          </w:p>
        </w:tc>
        <w:tc>
          <w:tcPr>
            <w:tcW w:type="dxa" w:w="6848"/>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What It Measures</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Accuracy</w:t>
            </w:r>
          </w:p>
        </w:tc>
        <w:tc>
          <w:tcPr>
            <w:tcW w:type="dxa" w:w="68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Factual correctness; no fabricated policies or information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Empathy</w:t>
            </w:r>
          </w:p>
        </w:tc>
        <w:tc>
          <w:tcPr>
            <w:tcW w:type="dxa" w:w="68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Tone is warm, appropriately calibrated to the customer's emotional state</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Completeness</w:t>
            </w:r>
          </w:p>
        </w:tc>
        <w:tc>
          <w:tcPr>
            <w:tcW w:type="dxa" w:w="68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All aspects of the customer's issue are addressed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Actionability</w:t>
            </w:r>
          </w:p>
        </w:tc>
        <w:tc>
          <w:tcPr>
            <w:tcW w:type="dxa" w:w="68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Clear next steps are provided for the customer</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Safety</w:t>
            </w:r>
          </w:p>
        </w:tc>
        <w:tc>
          <w:tcPr>
            <w:tcW w:type="dxa" w:w="68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No unsafe promises; escalation triggered when appropriate; sensitive situations handled carefully</w:t>
            </w:r>
          </w:p>
        </w:tc>
      </w:tr>
    </w:tbl>
    <w:p>
      <w:pPr>
        <w:spacing w:after="80" w:before="0"/>
      </w:pPr>
      <w:r>
        <w:t xml:space="preserve"/>
      </w:r>
    </w:p>
    <w:p>
      <w:pPr>
        <w:pStyle w:val="Heading2"/>
        <w:spacing w:after="120" w:before="240"/>
      </w:pPr>
      <w:r>
        <w:rPr>
          <w:rFonts w:ascii="Arial" w:cs="Arial" w:eastAsia="Arial" w:hAnsi="Arial"/>
          <w:b/>
          <w:bCs/>
          <w:color w:val="2E75B6"/>
          <w:sz w:val="26"/>
          <w:szCs w:val="26"/>
        </w:rPr>
        <w:t xml:space="preserve">4.2  Summarization (4 dimensions)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Dimension</w:t>
            </w:r>
          </w:p>
        </w:tc>
        <w:tc>
          <w:tcPr>
            <w:tcW w:type="dxa" w:w="6848"/>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What It Measures</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Faithfulness</w:t>
            </w:r>
          </w:p>
        </w:tc>
        <w:tc>
          <w:tcPr>
            <w:tcW w:type="dxa" w:w="68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All claims in the summary are grounded in the source text; no hallucinations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Coverage</w:t>
            </w:r>
          </w:p>
        </w:tc>
        <w:tc>
          <w:tcPr>
            <w:tcW w:type="dxa" w:w="68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The most important information is captured</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Conciseness</w:t>
            </w:r>
          </w:p>
        </w:tc>
        <w:tc>
          <w:tcPr>
            <w:tcW w:type="dxa" w:w="68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The summary is appropriately short; no unnecessary repetition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Coherence</w:t>
            </w:r>
          </w:p>
        </w:tc>
        <w:tc>
          <w:tcPr>
            <w:tcW w:type="dxa" w:w="68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The summary reads naturally and is logically organised</w:t>
            </w:r>
          </w:p>
        </w:tc>
      </w:tr>
    </w:tbl>
    <w:p>
      <w:pPr>
        <w:spacing w:after="80" w:before="0"/>
      </w:pPr>
      <w:r>
        <w:t xml:space="preserve"/>
      </w:r>
    </w:p>
    <w:p>
      <w:pPr>
        <w:pStyle w:val="Heading2"/>
        <w:spacing w:after="120" w:before="240"/>
      </w:pPr>
      <w:r>
        <w:rPr>
          <w:rFonts w:ascii="Arial" w:cs="Arial" w:eastAsia="Arial" w:hAnsi="Arial"/>
          <w:b/>
          <w:bCs/>
          <w:color w:val="2E75B6"/>
          <w:sz w:val="26"/>
          <w:szCs w:val="26"/>
        </w:rPr>
        <w:t xml:space="preserve">4.3  Coding (4 dimensions)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Dimension</w:t>
            </w:r>
          </w:p>
        </w:tc>
        <w:tc>
          <w:tcPr>
            <w:tcW w:type="dxa" w:w="6848"/>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What It Measures</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Correctness</w:t>
            </w:r>
          </w:p>
        </w:tc>
        <w:tc>
          <w:tcPr>
            <w:tcW w:type="dxa" w:w="68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The code or explanation is logically correct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Code Quality</w:t>
            </w:r>
          </w:p>
        </w:tc>
        <w:tc>
          <w:tcPr>
            <w:tcW w:type="dxa" w:w="68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Good practices: naming, structure, no unnecessary complexity</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Clarity</w:t>
            </w:r>
          </w:p>
        </w:tc>
        <w:tc>
          <w:tcPr>
            <w:tcW w:type="dxa" w:w="68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Explanation is clear and accessible to the intended audience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Edge Case Handling</w:t>
            </w:r>
          </w:p>
        </w:tc>
        <w:tc>
          <w:tcPr>
            <w:tcW w:type="dxa" w:w="68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Edge cases, error conditions, and failure modes are considered</w:t>
            </w:r>
          </w:p>
        </w:tc>
      </w:tr>
    </w:tbl>
    <w:p>
      <w:pPr>
        <w:spacing w:after="80" w:before="0"/>
      </w:pPr>
      <w:r>
        <w:t xml:space="preserve"/>
      </w:r>
    </w:p>
    <w:p>
      <w:pPr>
        <w:spacing w:after="80" w:before="0"/>
      </w:pPr>
      <w: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5. Scoring Methodology</w:t>
      </w:r>
    </w:p>
    <w:p>
      <w:pPr>
        <w:pStyle w:val="Heading2"/>
        <w:spacing w:after="120" w:before="240"/>
      </w:pPr>
      <w:r>
        <w:rPr>
          <w:rFonts w:ascii="Arial" w:cs="Arial" w:eastAsia="Arial" w:hAnsi="Arial"/>
          <w:b/>
          <w:bCs/>
          <w:color w:val="2E75B6"/>
          <w:sz w:val="26"/>
          <w:szCs w:val="26"/>
        </w:rPr>
        <w:t xml:space="preserve">5.1  Dual Scoring Architecture</w:t>
      </w:r>
    </w:p>
    <w:p>
      <w:pPr>
        <w:spacing w:after="80" w:before="60"/>
      </w:pPr>
      <w:r>
        <w:rPr>
          <w:rFonts w:ascii="Arial" w:cs="Arial" w:eastAsia="Arial" w:hAnsi="Arial"/>
          <w:color w:val="595959"/>
          <w:sz w:val="22"/>
          <w:szCs w:val="22"/>
        </w:rPr>
        <w:t xml:space="preserve">Each response receives two independent scores that are combined into a composite:</w:t>
      </w:r>
    </w:p>
    <w:p>
      <w:pPr>
        <w:spacing w:after="80" w:before="0"/>
      </w:pPr>
      <w:r>
        <w:t xml:space="preserve"/>
      </w:r>
    </w:p>
    <w:p>
      <w:pPr>
        <w:shd w:fill="D6E4F0" w:val="clear"/>
        <w:spacing w:after="120" w:before="120"/>
        <w:ind w:left="1440" w:right="1440"/>
        <w:jc w:val="center"/>
      </w:pPr>
      <w:r>
        <w:rPr>
          <w:rFonts w:ascii="Courier New" w:cs="Courier New" w:eastAsia="Courier New" w:hAnsi="Courier New"/>
          <w:b/>
          <w:bCs/>
          <w:color w:val="1F4E79"/>
          <w:sz w:val="24"/>
          <w:szCs w:val="24"/>
        </w:rPr>
        <w:t xml:space="preserve">Composite = 0.7 × Judge Score + 0.3 × Rubric Pass Rate</w:t>
      </w:r>
    </w:p>
    <w:p>
      <w:pPr>
        <w:spacing w:after="80" w:before="0"/>
      </w:pPr>
      <w:r>
        <w:t xml:space="preserve"/>
      </w:r>
    </w:p>
    <w:p>
      <w:pPr>
        <w:spacing w:after="80" w:before="60"/>
      </w:pPr>
      <w:r>
        <w:rPr>
          <w:rFonts w:ascii="Arial" w:cs="Arial" w:eastAsia="Arial" w:hAnsi="Arial"/>
          <w:color w:val="595959"/>
          <w:sz w:val="22"/>
          <w:szCs w:val="22"/>
        </w:rPr>
        <w:t xml:space="preserve">The 70/30 weighting reflects that LLM judge scores capture nuanced quality (tone, logic, faithfulness) better than deterministic checks, while rubric checks provide a fast, reliable floor for structural requirements.</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5.2  Rubric Scoring (Deterministic)</w:t>
      </w:r>
    </w:p>
    <w:p>
      <w:pPr>
        <w:spacing w:after="80" w:before="60"/>
      </w:pPr>
      <w:r>
        <w:rPr>
          <w:rFonts w:ascii="Arial" w:cs="Arial" w:eastAsia="Arial" w:hAnsi="Arial"/>
          <w:color w:val="595959"/>
          <w:sz w:val="22"/>
          <w:szCs w:val="22"/>
        </w:rPr>
        <w:t xml:space="preserve">Each test case defines a rubric_checks dict mapping check names to expected values. The rubric scorer evaluates each check using regex patterns and heuristics. Example checks:</w:t>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Check</w:t>
            </w:r>
          </w:p>
        </w:tc>
        <w:tc>
          <w:tcPr>
            <w:tcW w:type="dxa" w:w="6448"/>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Method</w:t>
            </w:r>
          </w:p>
        </w:tc>
      </w:tr>
      <w:tr>
        <w:tc>
          <w:tcPr>
            <w:tcW w:type="dxa" w:w="32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contains_apology</w:t>
            </w:r>
          </w:p>
        </w:tc>
        <w:tc>
          <w:tcPr>
            <w:tcW w:type="dxa" w:w="64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Regex: sorry | apologize | apologies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max_length_words</w:t>
            </w:r>
          </w:p>
        </w:tc>
        <w:tc>
          <w:tcPr>
            <w:tcW w:type="dxa" w:w="64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len(response.split()) &lt;= N</w:t>
            </w:r>
          </w:p>
        </w:tc>
      </w:tr>
      <w:tr>
        <w:tc>
          <w:tcPr>
            <w:tcW w:type="dxa" w:w="32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uses_group_by</w:t>
            </w:r>
          </w:p>
        </w:tc>
        <w:tc>
          <w:tcPr>
            <w:tcW w:type="dxa" w:w="64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Regex: GROUP BY (case-insensitive)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warns_against_md5</w:t>
            </w:r>
          </w:p>
        </w:tc>
        <w:tc>
          <w:tcPr>
            <w:tcW w:type="dxa" w:w="64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Regex: md5.*not | unsafe | insecure</w:t>
            </w:r>
          </w:p>
        </w:tc>
      </w:tr>
      <w:tr>
        <w:tc>
          <w:tcPr>
            <w:tcW w:type="dxa" w:w="32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represents_both_views</w:t>
            </w:r>
          </w:p>
        </w:tc>
        <w:tc>
          <w:tcPr>
            <w:tcW w:type="dxa" w:w="64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Requires both positive AND negative sentiment keywords</w:t>
            </w:r>
          </w:p>
        </w:tc>
      </w:tr>
    </w:tbl>
    <w:p>
      <w:pPr>
        <w:spacing w:after="80" w:before="0"/>
      </w:pPr>
      <w:r>
        <w:t xml:space="preserve"/>
      </w:r>
    </w:p>
    <w:p>
      <w:pPr>
        <w:spacing w:after="80" w:before="60"/>
      </w:pPr>
      <w:r>
        <w:rPr>
          <w:rFonts w:ascii="Arial" w:cs="Arial" w:eastAsia="Arial" w:hAnsi="Arial"/>
          <w:color w:val="595959"/>
          <w:sz w:val="22"/>
          <w:szCs w:val="22"/>
        </w:rPr>
        <w:t xml:space="preserve">Pass rate = checks passed / checks run. A case with no rubric checks receives a pass rate of 1.0 (neutral).</w:t>
      </w:r>
    </w:p>
    <w:p>
      <w:pPr>
        <w:spacing w:after="80" w:before="60"/>
      </w:pPr>
      <w:r>
        <w:rPr>
          <w:rFonts w:ascii="Arial" w:cs="Arial" w:eastAsia="Arial" w:hAnsi="Arial"/>
          <w:i/>
          <w:iCs/>
          <w:color w:val="595959"/>
          <w:sz w:val="22"/>
          <w:szCs w:val="22"/>
        </w:rPr>
        <w:t xml:space="preserve">Limitation: rubric checks are heuristic approximations. A response could pass all checks while being poor quality. They are best used as a quick sanity filter, not a substitute for the judge.</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5.3  LLM-as-Judge Scoring</w:t>
      </w:r>
    </w:p>
    <w:p>
      <w:pPr>
        <w:spacing w:after="80" w:before="60"/>
      </w:pPr>
      <w:r>
        <w:rPr>
          <w:rFonts w:ascii="Arial" w:cs="Arial" w:eastAsia="Arial" w:hAnsi="Arial"/>
          <w:color w:val="595959"/>
          <w:sz w:val="22"/>
          <w:szCs w:val="22"/>
        </w:rPr>
        <w:t xml:space="preserve">The judge model (default: claude-haiku-4-5-20251001) receives: the original task, the model's response, the ideal response criteria for the case, and the list of quality dimensions to score. The judge scores each dimension on a 1–5 scale with a rationale, plus an overall comment. Scores are normalised to [0, 1] via (score − 1) / 4.</w:t>
      </w:r>
    </w:p>
    <w:p>
      <w:pPr>
        <w:spacing w:after="80" w:before="0"/>
      </w:pPr>
      <w:r>
        <w:t xml:space="preserve"/>
      </w:r>
    </w:p>
    <w:p>
      <w:pPr>
        <w:spacing w:after="80" w:before="60"/>
      </w:pPr>
      <w:r>
        <w:rPr>
          <w:rFonts w:ascii="Arial" w:cs="Arial" w:eastAsia="Arial" w:hAnsi="Arial"/>
          <w:color w:val="595959"/>
          <w:sz w:val="22"/>
          <w:szCs w:val="22"/>
        </w:rPr>
        <w:t xml:space="preserve">Judge system prompt design principles:</w:t>
      </w:r>
    </w:p>
    <w:p>
      <w:pPr>
        <w:pStyle w:val="ListParagraph"/>
        <w:numPr>
          <w:ilvl w:val="0"/>
          <w:numId w:val="2"/>
        </w:numPr>
        <w:spacing w:after="40" w:before="40"/>
      </w:pPr>
      <w:r>
        <w:rPr>
          <w:rFonts w:ascii="Arial" w:cs="Arial" w:eastAsia="Arial" w:hAnsi="Arial"/>
          <w:color w:val="595959"/>
          <w:sz w:val="22"/>
          <w:szCs w:val="22"/>
        </w:rPr>
        <w:t xml:space="preserve">Instructed to respond in strict JSON only (prevents reasoning leaking into scores).</w:t>
      </w:r>
    </w:p>
    <w:p>
      <w:pPr>
        <w:pStyle w:val="ListParagraph"/>
        <w:numPr>
          <w:ilvl w:val="0"/>
          <w:numId w:val="2"/>
        </w:numPr>
        <w:spacing w:after="40" w:before="40"/>
      </w:pPr>
      <w:r>
        <w:rPr>
          <w:rFonts w:ascii="Arial" w:cs="Arial" w:eastAsia="Arial" w:hAnsi="Arial"/>
          <w:color w:val="595959"/>
          <w:sz w:val="22"/>
          <w:szCs w:val="22"/>
        </w:rPr>
        <w:t xml:space="preserve">Given explicit descriptions of each dimension to reduce ambiguity.</w:t>
      </w:r>
    </w:p>
    <w:p>
      <w:pPr>
        <w:pStyle w:val="ListParagraph"/>
        <w:numPr>
          <w:ilvl w:val="0"/>
          <w:numId w:val="2"/>
        </w:numPr>
        <w:spacing w:after="40" w:before="40"/>
      </w:pPr>
      <w:r>
        <w:rPr>
          <w:rFonts w:ascii="Arial" w:cs="Arial" w:eastAsia="Arial" w:hAnsi="Arial"/>
          <w:color w:val="595959"/>
          <w:sz w:val="22"/>
          <w:szCs w:val="22"/>
        </w:rPr>
        <w:t xml:space="preserve">Provided ideal criteria to anchor scoring against case-specific expectations.</w:t>
      </w:r>
    </w:p>
    <w:p>
      <w:pPr>
        <w:pStyle w:val="ListParagraph"/>
        <w:numPr>
          <w:ilvl w:val="0"/>
          <w:numId w:val="2"/>
        </w:numPr>
        <w:spacing w:after="40" w:before="40"/>
      </w:pPr>
      <w:r>
        <w:rPr>
          <w:rFonts w:ascii="Arial" w:cs="Arial" w:eastAsia="Arial" w:hAnsi="Arial"/>
          <w:color w:val="595959"/>
          <w:sz w:val="22"/>
          <w:szCs w:val="22"/>
        </w:rPr>
        <w:t xml:space="preserve">Instructed to score 1–5 to provide more granularity than pass/fail.</w:t>
      </w:r>
    </w:p>
    <w:p>
      <w:pPr>
        <w:spacing w:after="80" w:before="0"/>
      </w:pPr>
      <w:r>
        <w:t xml:space="preserve"/>
      </w:r>
    </w:p>
    <w:p>
      <w:pPr>
        <w:spacing w:after="80" w:before="60"/>
      </w:pPr>
      <w:r>
        <w:rPr>
          <w:rFonts w:ascii="Arial" w:cs="Arial" w:eastAsia="Arial" w:hAnsi="Arial"/>
          <w:color w:val="595959"/>
          <w:sz w:val="22"/>
          <w:szCs w:val="22"/>
        </w:rPr>
        <w:t xml:space="preserve">Known limitations of LLM-as-judge:</w:t>
      </w:r>
    </w:p>
    <w:p>
      <w:pPr>
        <w:pStyle w:val="ListParagraph"/>
        <w:numPr>
          <w:ilvl w:val="0"/>
          <w:numId w:val="2"/>
        </w:numPr>
        <w:spacing w:after="40" w:before="40"/>
      </w:pPr>
      <w:r>
        <w:rPr>
          <w:rFonts w:ascii="Arial" w:cs="Arial" w:eastAsia="Arial" w:hAnsi="Arial"/>
          <w:color w:val="595959"/>
          <w:sz w:val="22"/>
          <w:szCs w:val="22"/>
        </w:rPr>
        <w:t xml:space="preserve">Self-preference bias: Claude judging Claude responses may be more lenient than a human rater. Mitigate by using the smallest/cheapest judge (Haiku) or rotating judge models.</w:t>
      </w:r>
    </w:p>
    <w:p>
      <w:pPr>
        <w:pStyle w:val="ListParagraph"/>
        <w:numPr>
          <w:ilvl w:val="0"/>
          <w:numId w:val="2"/>
        </w:numPr>
        <w:spacing w:after="40" w:before="40"/>
      </w:pPr>
      <w:r>
        <w:rPr>
          <w:rFonts w:ascii="Arial" w:cs="Arial" w:eastAsia="Arial" w:hAnsi="Arial"/>
          <w:color w:val="595959"/>
          <w:sz w:val="22"/>
          <w:szCs w:val="22"/>
        </w:rPr>
        <w:t xml:space="preserve">Criteria sensitivity: judge scores vary with prompt wording. The judge system prompt and dimension descriptions are versioned in scorer.py and should be frozen across a benchmark run.</w:t>
      </w:r>
    </w:p>
    <w:p>
      <w:pPr>
        <w:pStyle w:val="ListParagraph"/>
        <w:numPr>
          <w:ilvl w:val="0"/>
          <w:numId w:val="2"/>
        </w:numPr>
        <w:spacing w:after="40" w:before="40"/>
      </w:pPr>
      <w:r>
        <w:rPr>
          <w:rFonts w:ascii="Arial" w:cs="Arial" w:eastAsia="Arial" w:hAnsi="Arial"/>
          <w:color w:val="595959"/>
          <w:sz w:val="22"/>
          <w:szCs w:val="22"/>
        </w:rPr>
        <w:t xml:space="preserve">No ground truth: for tasks without a single correct answer, judge scores represent calibrated opinion, not ground truth. Correlation with human raters is ~0.8 in published research on similar setups.</w:t>
      </w:r>
    </w:p>
    <w:p>
      <w:pPr>
        <w:spacing w:after="80" w:before="0"/>
      </w:pPr>
      <w:r>
        <w:t xml:space="preserve"/>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6. Composite Score Interpretation</w:t>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Score Range</w:t>
            </w:r>
          </w:p>
        </w:tc>
        <w:tc>
          <w:tcPr>
            <w:tcW w:type="dxa" w:w="7248"/>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Interpretation</w:t>
            </w:r>
          </w:p>
        </w:tc>
      </w:tr>
      <w:tr>
        <w:tc>
          <w:tcPr>
            <w:tcW w:type="dxa" w:w="2400"/>
            <w:tcBorders>
              <w:top w:val="single" w:color="BBBBBB" w:sz="1"/>
              <w:left w:val="single" w:color="BBBBBB" w:sz="1"/>
              <w:bottom w:val="single" w:color="BBBBBB" w:sz="1"/>
              <w:right w:val="single" w:color="BBBBBB" w:sz="1"/>
            </w:tcBorders>
            <w:shd w:fill="E2F0D9"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0.85 – 1.00</w:t>
            </w:r>
          </w:p>
        </w:tc>
        <w:tc>
          <w:tcPr>
            <w:tcW w:type="dxa" w:w="7248"/>
            <w:tcBorders>
              <w:top w:val="single" w:color="BBBBBB" w:sz="1"/>
              <w:left w:val="single" w:color="BBBBBB" w:sz="1"/>
              <w:bottom w:val="single" w:color="BBBBBB" w:sz="1"/>
              <w:right w:val="single" w:color="BBBBBB" w:sz="1"/>
            </w:tcBorders>
            <w:shd w:fill="E2F0D9"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Excellent — production-ready for this use case</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0.70 – 0.85</w:t>
            </w:r>
          </w:p>
        </w:tc>
        <w:tc>
          <w:tcPr>
            <w:tcW w:type="dxa" w:w="72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Good — minor issues, suitable with light supervision</w:t>
            </w:r>
          </w:p>
        </w:tc>
      </w:tr>
      <w:tr>
        <w:tc>
          <w:tcPr>
            <w:tcW w:type="dxa" w:w="2400"/>
            <w:tcBorders>
              <w:top w:val="single" w:color="BBBBBB" w:sz="1"/>
              <w:left w:val="single" w:color="BBBBBB" w:sz="1"/>
              <w:bottom w:val="single" w:color="BBBBBB" w:sz="1"/>
              <w:right w:val="single" w:color="BBBBBB" w:sz="1"/>
            </w:tcBorders>
            <w:shd w:fill="FFF2CC"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0.55 – 0.70</w:t>
            </w:r>
          </w:p>
        </w:tc>
        <w:tc>
          <w:tcPr>
            <w:tcW w:type="dxa" w:w="7248"/>
            <w:tcBorders>
              <w:top w:val="single" w:color="BBBBBB" w:sz="1"/>
              <w:left w:val="single" w:color="BBBBBB" w:sz="1"/>
              <w:bottom w:val="single" w:color="BBBBBB" w:sz="1"/>
              <w:right w:val="single" w:color="BBBBBB" w:sz="1"/>
            </w:tcBorders>
            <w:shd w:fill="FFF2CC"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Acceptable — notable gaps, requires human review in production</w:t>
            </w:r>
          </w:p>
        </w:tc>
      </w:tr>
      <w:tr>
        <w:tc>
          <w:tcPr>
            <w:tcW w:type="dxa" w:w="2400"/>
            <w:tcBorders>
              <w:top w:val="single" w:color="BBBBBB" w:sz="1"/>
              <w:left w:val="single" w:color="BBBBBB" w:sz="1"/>
              <w:bottom w:val="single" w:color="BBBBBB" w:sz="1"/>
              <w:right w:val="single" w:color="BBBBBB" w:sz="1"/>
            </w:tcBorders>
            <w:shd w:fill="FCE4D6"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0.40 – 0.55</w:t>
            </w:r>
          </w:p>
        </w:tc>
        <w:tc>
          <w:tcPr>
            <w:tcW w:type="dxa" w:w="7248"/>
            <w:tcBorders>
              <w:top w:val="single" w:color="BBBBBB" w:sz="1"/>
              <w:left w:val="single" w:color="BBBBBB" w:sz="1"/>
              <w:bottom w:val="single" w:color="BBBBBB" w:sz="1"/>
              <w:right w:val="single" w:color="BBBBBB" w:sz="1"/>
            </w:tcBorders>
            <w:shd w:fill="FCE4D6"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Poor — significant failures, not suitable for unsupervised deployment</w:t>
            </w:r>
          </w:p>
        </w:tc>
      </w:tr>
      <w:tr>
        <w:tc>
          <w:tcPr>
            <w:tcW w:type="dxa" w:w="2400"/>
            <w:tcBorders>
              <w:top w:val="single" w:color="BBBBBB" w:sz="1"/>
              <w:left w:val="single" w:color="BBBBBB" w:sz="1"/>
              <w:bottom w:val="single" w:color="BBBBBB" w:sz="1"/>
              <w:right w:val="single" w:color="BBBBBB" w:sz="1"/>
            </w:tcBorders>
            <w:shd w:fill="F4CCCC"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0.00 – 0.40</w:t>
            </w:r>
          </w:p>
        </w:tc>
        <w:tc>
          <w:tcPr>
            <w:tcW w:type="dxa" w:w="7248"/>
            <w:tcBorders>
              <w:top w:val="single" w:color="BBBBBB" w:sz="1"/>
              <w:left w:val="single" w:color="BBBBBB" w:sz="1"/>
              <w:bottom w:val="single" w:color="BBBBBB" w:sz="1"/>
              <w:right w:val="single" w:color="BBBBBB" w:sz="1"/>
            </w:tcBorders>
            <w:shd w:fill="F4CCCC"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Failing — fundamental capability gaps</w:t>
            </w:r>
          </w:p>
        </w:tc>
      </w:tr>
    </w:tbl>
    <w:p>
      <w:pPr>
        <w:spacing w:after="80" w:before="0"/>
      </w:pPr>
      <w:r>
        <w:t xml:space="preserve"/>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7. Running the Evaluation</w:t>
      </w:r>
    </w:p>
    <w:p>
      <w:pPr>
        <w:spacing w:after="80" w:before="60"/>
      </w:pPr>
      <w:r>
        <w:rPr>
          <w:rFonts w:ascii="Arial" w:cs="Arial" w:eastAsia="Arial" w:hAnsi="Arial"/>
          <w:color w:val="595959"/>
          <w:sz w:val="22"/>
          <w:szCs w:val="22"/>
        </w:rPr>
        <w:t xml:space="preserve">All commands run from the repository root.</w:t>
      </w:r>
    </w:p>
    <w:p>
      <w:pPr>
        <w:spacing w:after="80" w:before="0"/>
      </w:pPr>
      <w:r>
        <w:t xml:space="preserve"/>
      </w:r>
    </w:p>
    <w:p>
      <w:pPr>
        <w:pStyle w:val="Heading2"/>
        <w:spacing w:after="120" w:before="240"/>
      </w:pPr>
      <w:r>
        <w:rPr>
          <w:rFonts w:ascii="Arial" w:cs="Arial" w:eastAsia="Arial" w:hAnsi="Arial"/>
          <w:b/>
          <w:bCs/>
          <w:color w:val="2E75B6"/>
          <w:sz w:val="26"/>
          <w:szCs w:val="26"/>
        </w:rPr>
        <w:t xml:space="preserve">7.1  Live Run (requires API key)</w:t>
      </w:r>
    </w:p>
    <w:p>
      <w:pPr>
        <w:shd w:fill="2B2B2B" w:val="clear"/>
        <w:spacing w:after="80" w:before="80"/>
        <w:ind w:left="360" w:right="360"/>
      </w:pPr>
      <w:r>
        <w:rPr>
          <w:rFonts w:ascii="Courier New" w:cs="Courier New" w:eastAsia="Courier New" w:hAnsi="Courier New"/>
          <w:color w:val="A8FF60"/>
          <w:sz w:val="20"/>
          <w:szCs w:val="20"/>
        </w:rPr>
        <w:t xml:space="preserve">export ANTHROPIC_API_KEY=sk-ant-...</w:t>
      </w:r>
    </w:p>
    <w:p>
      <w:pPr>
        <w:shd w:fill="2B2B2B" w:val="clear"/>
        <w:spacing w:after="80" w:before="0"/>
        <w:ind w:left="360" w:right="360"/>
      </w:pPr>
      <w:r>
        <w:rPr>
          <w:rFonts w:ascii="Courier New" w:cs="Courier New" w:eastAsia="Courier New" w:hAnsi="Courier New"/>
          <w:color w:val="A8FF60"/>
          <w:sz w:val="20"/>
          <w:szCs w:val="20"/>
        </w:rPr>
        <w:t xml:space="preserve">python run_eval.py --model claude-haiku-4-5-20251001</w:t>
      </w:r>
    </w:p>
    <w:p>
      <w:pPr>
        <w:pStyle w:val="Heading2"/>
        <w:spacing w:after="120" w:before="240"/>
      </w:pPr>
      <w:r>
        <w:rPr>
          <w:rFonts w:ascii="Arial" w:cs="Arial" w:eastAsia="Arial" w:hAnsi="Arial"/>
          <w:b/>
          <w:bCs/>
          <w:color w:val="2E75B6"/>
          <w:sz w:val="26"/>
          <w:szCs w:val="26"/>
        </w:rPr>
        <w:t xml:space="preserve">7.2  Fully Offline Run (no API key needed)</w:t>
      </w:r>
    </w:p>
    <w:p>
      <w:pPr>
        <w:shd w:fill="2B2B2B" w:val="clear"/>
        <w:spacing w:after="80" w:before="80"/>
        <w:ind w:left="360" w:right="360"/>
      </w:pPr>
      <w:r>
        <w:rPr>
          <w:rFonts w:ascii="Courier New" w:cs="Courier New" w:eastAsia="Courier New" w:hAnsi="Courier New"/>
          <w:color w:val="A8FF60"/>
          <w:sz w:val="20"/>
          <w:szCs w:val="20"/>
        </w:rPr>
        <w:t xml:space="preserve">python run_eval.py --offline</w:t>
      </w:r>
    </w:p>
    <w:p>
      <w:pPr>
        <w:pStyle w:val="Heading2"/>
        <w:spacing w:after="120" w:before="240"/>
      </w:pPr>
      <w:r>
        <w:rPr>
          <w:rFonts w:ascii="Arial" w:cs="Arial" w:eastAsia="Arial" w:hAnsi="Arial"/>
          <w:b/>
          <w:bCs/>
          <w:color w:val="2E75B6"/>
          <w:sz w:val="26"/>
          <w:szCs w:val="26"/>
        </w:rPr>
        <w:t xml:space="preserve">7.3  Score Pre-Generated Responses</w:t>
      </w:r>
    </w:p>
    <w:p>
      <w:pPr>
        <w:shd w:fill="2B2B2B" w:val="clear"/>
        <w:spacing w:after="80" w:before="80"/>
        <w:ind w:left="360" w:right="360"/>
      </w:pPr>
      <w:r>
        <w:rPr>
          <w:rFonts w:ascii="Courier New" w:cs="Courier New" w:eastAsia="Courier New" w:hAnsi="Courier New"/>
          <w:color w:val="A8FF60"/>
          <w:sz w:val="20"/>
          <w:szCs w:val="20"/>
        </w:rPr>
        <w:t xml:space="preserve">python run_eval.py --preloaded my_responses.json --judge heuristic</w:t>
      </w:r>
    </w:p>
    <w:p>
      <w:pPr>
        <w:spacing w:after="8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8. Adding New Test Cases</w:t>
      </w:r>
    </w:p>
    <w:p>
      <w:pPr>
        <w:pStyle w:val="ListParagraph"/>
        <w:numPr>
          <w:ilvl w:val="0"/>
          <w:numId w:val="2"/>
        </w:numPr>
        <w:spacing w:after="40" w:before="40"/>
      </w:pPr>
      <w:r>
        <w:rPr>
          <w:rFonts w:ascii="Arial" w:cs="Arial" w:eastAsia="Arial" w:hAnsi="Arial"/>
          <w:color w:val="595959"/>
          <w:sz w:val="22"/>
          <w:szCs w:val="22"/>
        </w:rPr>
        <w:t xml:space="preserve">Add a new entry to the appropriate data/*.json file following the schema.</w:t>
      </w:r>
    </w:p>
    <w:p>
      <w:pPr>
        <w:pStyle w:val="ListParagraph"/>
        <w:numPr>
          <w:ilvl w:val="0"/>
          <w:numId w:val="2"/>
        </w:numPr>
        <w:spacing w:after="40" w:before="40"/>
      </w:pPr>
      <w:r>
        <w:rPr>
          <w:rFonts w:ascii="Arial" w:cs="Arial" w:eastAsia="Arial" w:hAnsi="Arial"/>
          <w:color w:val="595959"/>
          <w:sz w:val="22"/>
          <w:szCs w:val="22"/>
        </w:rPr>
        <w:t xml:space="preserve">Required fields: id, domain, scenario, difficulty, quality_dimensions.</w:t>
      </w:r>
    </w:p>
    <w:p>
      <w:pPr>
        <w:pStyle w:val="ListParagraph"/>
        <w:numPr>
          <w:ilvl w:val="0"/>
          <w:numId w:val="2"/>
        </w:numPr>
        <w:spacing w:after="40" w:before="40"/>
      </w:pPr>
      <w:r>
        <w:rPr>
          <w:rFonts w:ascii="Arial" w:cs="Arial" w:eastAsia="Arial" w:hAnsi="Arial"/>
          <w:color w:val="595959"/>
          <w:sz w:val="22"/>
          <w:szCs w:val="22"/>
        </w:rPr>
        <w:t xml:space="preserve">At least one of rubric_checks or ideal_response_criteria should be non-empty.</w:t>
      </w:r>
    </w:p>
    <w:p>
      <w:pPr>
        <w:pStyle w:val="ListParagraph"/>
        <w:numPr>
          <w:ilvl w:val="0"/>
          <w:numId w:val="2"/>
        </w:numPr>
        <w:spacing w:after="40" w:before="40"/>
      </w:pPr>
      <w:r>
        <w:rPr>
          <w:rFonts w:ascii="Arial" w:cs="Arial" w:eastAsia="Arial" w:hAnsi="Arial"/>
          <w:color w:val="595959"/>
          <w:sz w:val="22"/>
          <w:szCs w:val="22"/>
        </w:rPr>
        <w:t xml:space="preserve">Use unique id values with the domain prefix (sup_, sum_, cod_).</w:t>
      </w:r>
    </w:p>
    <w:p>
      <w:pPr>
        <w:pStyle w:val="ListParagraph"/>
        <w:numPr>
          <w:ilvl w:val="0"/>
          <w:numId w:val="2"/>
        </w:numPr>
        <w:spacing w:after="40" w:before="40"/>
      </w:pPr>
      <w:r>
        <w:rPr>
          <w:rFonts w:ascii="Arial" w:cs="Arial" w:eastAsia="Arial" w:hAnsi="Arial"/>
          <w:color w:val="595959"/>
          <w:sz w:val="22"/>
          <w:szCs w:val="22"/>
        </w:rPr>
        <w:t xml:space="preserve">Run python run_eval.py --max-cases 1 --domains &lt;domain&gt; to verify the new case loads correctly.</w:t>
      </w:r>
    </w:p>
    <w:p>
      <w:pPr>
        <w:spacing w:after="80" w:before="0"/>
      </w:pPr>
      <w:r>
        <w:t xml:space="preserve"/>
      </w:r>
    </w:p>
    <w:p>
      <w:pPr>
        <w:spacing w:after="80" w:before="0"/>
      </w:pPr>
      <w: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9. Known Limitations and Future Work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6048"/>
      </w:tblGrid>
      <w:tr>
        <w:trPr>
          <w:tblHeader/>
        </w:trPr>
        <w:tc>
          <w:tcPr>
            <w:tcW w:type="dxa" w:w="36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Limitation</w:t>
            </w:r>
          </w:p>
        </w:tc>
        <w:tc>
          <w:tcPr>
            <w:tcW w:type="dxa" w:w="6048"/>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Notes / Planned Resolution</w:t>
            </w:r>
          </w:p>
        </w:tc>
      </w:tr>
      <w:tr>
        <w:tc>
          <w:tcPr>
            <w:tcW w:type="dxa" w:w="36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No execution-based coding eval</w:t>
            </w:r>
          </w:p>
        </w:tc>
        <w:tc>
          <w:tcPr>
            <w:tcW w:type="dxa" w:w="60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Code correctness is judged by the LLM, not executed. Adding a sandboxed Python executor would improve accuracy scores significantly.</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English-only</w:t>
            </w:r>
          </w:p>
        </w:tc>
        <w:tc>
          <w:tcPr>
            <w:tcW w:type="dxa" w:w="60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All test cases are in English. Multilingual coverage is a planned extension.</w:t>
            </w:r>
          </w:p>
        </w:tc>
      </w:tr>
      <w:tr>
        <w:tc>
          <w:tcPr>
            <w:tcW w:type="dxa" w:w="36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Single-turn only</w:t>
            </w:r>
          </w:p>
        </w:tc>
        <w:tc>
          <w:tcPr>
            <w:tcW w:type="dxa" w:w="60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Multi-turn conversation quality is not measured. A planned extension.</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No inter-rater reliability</w:t>
            </w:r>
          </w:p>
        </w:tc>
        <w:tc>
          <w:tcPr>
            <w:tcW w:type="dxa" w:w="6048"/>
            <w:tcBorders>
              <w:top w:val="single" w:color="BBBBBB" w:sz="1"/>
              <w:left w:val="single" w:color="BBBBBB" w:sz="1"/>
              <w:bottom w:val="single" w:color="BBBBBB" w:sz="1"/>
              <w:right w:val="single" w:color="BBBBBB" w:sz="1"/>
            </w:tcBorders>
            <w:shd w:fill="FFFFFF"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No human baseline scores are provided. Adding ~10 human-rated cases per domain would enable IAA computation and judge calibration.</w:t>
            </w:r>
          </w:p>
        </w:tc>
      </w:tr>
      <w:tr>
        <w:tc>
          <w:tcPr>
            <w:tcW w:type="dxa" w:w="3600"/>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bCs/>
                <w:color w:val="595959"/>
                <w:sz w:val="20"/>
                <w:szCs w:val="20"/>
              </w:rPr>
              <w:t xml:space="preserve">Judge bias not quantified</w:t>
            </w:r>
          </w:p>
        </w:tc>
        <w:tc>
          <w:tcPr>
            <w:tcW w:type="dxa" w:w="6048"/>
            <w:tcBorders>
              <w:top w:val="single" w:color="BBBBBB" w:sz="1"/>
              <w:left w:val="single" w:color="BBBBBB" w:sz="1"/>
              <w:bottom w:val="single" w:color="BBBBBB" w:sz="1"/>
              <w:right w:val="single" w:color="BBBBBB" w:sz="1"/>
            </w:tcBorders>
            <w:shd w:fill="EBF3FB" w:val="clear"/>
            <w:tcMar>
              <w:top w:type="dxa" w:w="60"/>
              <w:left w:type="dxa" w:w="140"/>
              <w:bottom w:type="dxa" w:w="60"/>
              <w:right w:type="dxa" w:w="140"/>
            </w:tcMar>
            <w:vAlign w:val="center"/>
          </w:tcPr>
          <w:p>
            <w:pPr>
              <w:jc w:val="left"/>
            </w:pPr>
            <w:r>
              <w:rPr>
                <w:rFonts w:ascii="Arial" w:cs="Arial" w:eastAsia="Arial" w:hAnsi="Arial"/>
                <w:b w:val="false"/>
                <w:bCs w:val="false"/>
                <w:color w:val="595959"/>
                <w:sz w:val="20"/>
                <w:szCs w:val="20"/>
              </w:rPr>
              <w:t xml:space="preserve">Running the same cases through multiple judge models (GPT-4o, Claude, Gemini) and measuring agreement would quantify cross-model judge variance.</w:t>
            </w:r>
          </w:p>
        </w:tc>
      </w:tr>
    </w:tbl>
    <w:p>
      <w:pPr>
        <w:spacing w:after="80" w:before="0"/>
      </w:pPr>
      <w:r>
        <w:t xml:space="preserve"/>
      </w:r>
    </w:p>
    <w:p>
      <w:pPr>
        <w:spacing w:after="80" w:before="0"/>
      </w:pPr>
      <w:r>
        <w:t xml:space="preserve"/>
      </w:r>
    </w:p>
    <w:p>
      <w:pPr>
        <w:spacing w:after="80" w:before="0"/>
      </w:pPr>
      <w:r>
        <w:t xml:space="preserve"/>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2E75B6"/>
        <w:sz w:val="18"/>
        <w:szCs w:val="18"/>
      </w:rPr>
      <w:t xml:space="preserve">LLM Evaluation Suite</w:t>
    </w:r>
    <w:r>
      <w:rPr>
        <w:rFonts w:ascii="Arial" w:cs="Arial" w:eastAsia="Arial" w:hAnsi="Arial"/>
        <w:color w:val="595959"/>
        <w:sz w:val="18"/>
        <w:szCs w:val="18"/>
      </w:rPr>
      <w:t xml:space="preserve">	Methodology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2026-06-09T23:50:39.187Z</dcterms:created>
  <dcterms:modified xsi:type="dcterms:W3CDTF">2026-06-09T23:50:39.187Z</dcterms:modified>
</cp:coreProperties>
</file>

<file path=docProps/custom.xml><?xml version="1.0" encoding="utf-8"?>
<Properties xmlns="http://schemas.openxmlformats.org/officeDocument/2006/custom-properties" xmlns:vt="http://schemas.openxmlformats.org/officeDocument/2006/docPropsVTypes"/>
</file>