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  <w:rPr>
          <w:rFonts w:ascii="Calibri" w:cs="Calibri" w:eastAsia="Calibri" w:hAnsi="Calibri"/>
          <w:b/>
          <w:bCs/>
          <w:color w:val="8B263E"/>
        </w:rPr>
      </w:pPr>
      <w:r>
        <w:t xml:space="preserve">Microsoft 365, SharePoint &amp; Power Automate Architektur</w:t>
      </w:r>
    </w:p>
    <w:p>
      <w:r>
        <w:t xml:space="preserve">• Tenant: sprachcafepolnisch.sharepoint.com
• Hub Site: /sites/intranet
• 10 Standard-Ordnerstruktur (01_Vorstand bis 10_Archiv)
• Sicherheitsgruppen: Vorstand, Standortleitung, Dozierende, Ehrenamtliche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2026-09-01T12:59:30.840Z</dcterms:created>
  <dcterms:modified xsi:type="dcterms:W3CDTF">2026-09-01T12:59:30.840Z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