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2-3</w:t>
      </w:r>
      <w:r>
        <w:rPr>
          <w:rFonts w:hint="eastAsia"/>
          <w:sz w:val="28"/>
          <w:szCs w:val="28"/>
        </w:rPr>
        <w:t>月: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组建核心团队，确认合作模式，明确产品的定位以及完成第一版产品的界面设计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2.26</w:t>
      </w:r>
      <w:r>
        <w:rPr>
          <w:rFonts w:hint="eastAsia"/>
          <w:sz w:val="28"/>
          <w:szCs w:val="28"/>
        </w:rPr>
        <w:t>前核心团队沟通两次，确定合作模式</w:t>
      </w:r>
      <w:r>
        <w:rPr>
          <w:rFonts w:hint="eastAsia"/>
          <w:sz w:val="28"/>
          <w:szCs w:val="28"/>
          <w:lang w:eastAsia="zh-CN"/>
        </w:rPr>
        <w:t>和产品的定位；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3.11前明确了现阶段团队的具体分工，并分配任务；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以个人为单位，完成界面设计方面的工作任务；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对零散的</w:t>
      </w:r>
      <w:r>
        <w:rPr>
          <w:rFonts w:hint="eastAsia"/>
          <w:sz w:val="28"/>
          <w:szCs w:val="28"/>
        </w:rPr>
        <w:t>第一版界面原型</w:t>
      </w:r>
      <w:r>
        <w:rPr>
          <w:rFonts w:hint="eastAsia"/>
          <w:sz w:val="28"/>
          <w:szCs w:val="28"/>
          <w:lang w:eastAsia="zh-CN"/>
        </w:rPr>
        <w:t>进行拼接，完成整体效果模型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对该产品进行用户，技术，资源需求，风险预估等方面的分析并提前预备相应的对策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3.25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eastAsia="zh-CN"/>
        </w:rPr>
        <w:t>收集资源，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F0144A1"/>
    <w:rsid w:val="26D2121B"/>
    <w:rsid w:val="35336435"/>
    <w:rsid w:val="3658027C"/>
    <w:rsid w:val="3D6C3A5A"/>
    <w:rsid w:val="43602D09"/>
    <w:rsid w:val="4F527F0D"/>
    <w:rsid w:val="5C381053"/>
    <w:rsid w:val="6ED35378"/>
    <w:rsid w:val="715F20A8"/>
    <w:rsid w:val="76C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10</TotalTime>
  <ScaleCrop>false</ScaleCrop>
  <LinksUpToDate>false</LinksUpToDate>
  <CharactersWithSpaces>236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2020-03-21T07:12:14Z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