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体积雾插件技术说明文档</w:t>
      </w:r>
      <w:r>
        <w:rPr>
          <w:rFonts w:eastAsia="宋体" w:ascii="Times New Roman" w:cs="Times New Roman" w:hAnsi="Times New Roman"/>
          <w:b w:val="true"/>
          <w:sz w:val="52"/>
        </w:rPr>
        <w:t>
</w:t>
      </w:r>
    </w:p>
    <w:p>
      <w:pPr>
        <w:pStyle w:val="1"/>
        <w:spacing w:after="140" w:before="380"/>
        <w:jc w:val="left"/>
        <w:outlineLvl w:val="0"/>
      </w:pPr>
      <w:r>
        <w:rPr>
          <w:rFonts w:eastAsia="宋体" w:ascii="Times New Roman" w:cs="Times New Roman" w:hAnsi="Times New Roman"/>
          <w:b w:val="true"/>
          <w:sz w:val="44"/>
        </w:rPr>
        <w:t>插件简介</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该插件是基于《刺客信条4:黑旗》中的体积雾技术进行开发。</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原理说明</w:t>
      </w:r>
      <w:r>
        <w:rPr>
          <w:rFonts w:eastAsia="宋体" w:ascii="Times New Roman" w:cs="Times New Roman" w:hAnsi="Times New Roman"/>
          <w:b w:val="true"/>
          <w:sz w:val="44"/>
        </w:rPr>
        <w:t>
</w:t>
      </w:r>
    </w:p>
    <w:p>
      <w:pPr>
        <w:pStyle w:val="3"/>
        <w:spacing w:after="120" w:before="300"/>
        <w:jc w:val="left"/>
        <w:outlineLvl w:val="2"/>
      </w:pPr>
      <w:r>
        <w:rPr>
          <w:rFonts w:eastAsia="宋体" w:ascii="Times New Roman" w:cs="Times New Roman" w:hAnsi="Times New Roman"/>
          <w:b w:val="true"/>
          <w:sz w:val="32"/>
        </w:rPr>
        <w:t>光的散射</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光散射现象是由光子与形成任何传输介质的粒子相互作用引起的。当光穿过任何非空的介质时，光子和光线可能会与产生这种介质的粒子发生碰撞。碰撞时，它们要么被扩散，要么被吸收(并转化为热能)。</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9335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400675" cy="19335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58127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5"/>
                    <a:stretch>
                      <a:fillRect/>
                    </a:stretch>
                  </pic:blipFill>
                  <pic:spPr>
                    <a:xfrm>
                      <a:off x="0" y="0"/>
                      <a:ext cx="5400675" cy="25812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3657600" cy="74295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6"/>
                    <a:stretch>
                      <a:fillRect/>
                    </a:stretch>
                  </pic:blipFill>
                  <pic:spPr>
                    <a:xfrm>
                      <a:off x="0" y="0"/>
                      <a:ext cx="3657600" cy="7429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3906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7"/>
                    <a:stretch>
                      <a:fillRect/>
                    </a:stretch>
                  </pic:blipFill>
                  <pic:spPr>
                    <a:xfrm>
                      <a:off x="0" y="0"/>
                      <a:ext cx="5400675" cy="139065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体积纹理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体积雾采用view-frustum-alinged的3D纹理体积，通过控制texture3d的width、height与depth来控制雾的显示精度。</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9812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8"/>
                    <a:stretch>
                      <a:fillRect/>
                    </a:stretch>
                  </pic:blipFill>
                  <pic:spPr>
                    <a:xfrm>
                      <a:off x="0" y="0"/>
                      <a:ext cx="5400675" cy="19812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双线性纹理噪声</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可以通过控制noise来控制噪声的精度。</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2447925"/>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9"/>
                    <a:stretch>
                      <a:fillRect/>
                    </a:stretch>
                  </pic:blipFill>
                  <pic:spPr>
                    <a:xfrm>
                      <a:off x="0" y="0"/>
                      <a:ext cx="5400675" cy="244792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算法图示</w:t>
      </w:r>
      <w:r>
        <w:rPr>
          <w:rFonts w:eastAsia="宋体" w:ascii="Times New Roman" w:cs="Times New Roman" w:hAnsi="Times New Roman"/>
          <w:b w:val="true"/>
          <w:sz w:val="32"/>
        </w:rPr>
        <w:t>
</w:t>
      </w:r>
    </w:p>
    <w:p>
      <w:pPr>
        <w:jc w:val="left"/>
      </w:pPr>
      <w:r>
        <w:rPr>
          <w:rFonts w:eastAsia="宋体" w:ascii="Times New Roman" w:cs="Times New Roman" w:hAnsi="Times New Roman"/>
          <w:sz w:val="22"/>
        </w:rPr>
        <w:drawing>
          <wp:inline distT="0" distB="0" distL="0" distR="0">
            <wp:extent cx="5400675" cy="23241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0"/>
                    <a:stretch>
                      <a:fillRect/>
                    </a:stretch>
                  </pic:blipFill>
                  <pic:spPr>
                    <a:xfrm>
                      <a:off x="0" y="0"/>
                      <a:ext cx="5400675" cy="23241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在该体积雾算法中，优化结合了密度估算和光照计算，如图所示，这些传递是独立的，可以串行、并行甚至组合运行。通过合并，能够写出单个包含内散射照明信息的RGBA纹理值，同时alpha通道包含消光系数(散射和吸收系数之和)</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相关Shader</w:t>
      </w:r>
      <w:r>
        <w:rPr>
          <w:rFonts w:eastAsia="宋体" w:ascii="Times New Roman" w:cs="Times New Roman" w:hAnsi="Times New Roman"/>
          <w:b w:val="true"/>
          <w:sz w:val="44"/>
        </w:rPr>
        <w:t>
</w:t>
      </w:r>
    </w:p>
    <w:p>
      <w:pPr>
        <w:pStyle w:val="4"/>
        <w:spacing w:after="120" w:before="260"/>
        <w:jc w:val="left"/>
        <w:outlineLvl w:val="3"/>
      </w:pPr>
      <w:r>
        <w:rPr>
          <w:rFonts w:eastAsia="宋体" w:ascii="Times New Roman" w:cs="Times New Roman" w:hAnsi="Times New Roman"/>
          <w:b w:val="true"/>
          <w:sz w:val="28"/>
        </w:rPr>
        <w:t>环境物体shader修改相关函数</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顶点函数修改</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307657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1"/>
                    <a:stretch>
                      <a:fillRect/>
                    </a:stretch>
                  </pic:blipFill>
                  <pic:spPr>
                    <a:xfrm>
                      <a:off x="0" y="0"/>
                      <a:ext cx="5400675" cy="307657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片元函数修改</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184785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2"/>
                    <a:stretch>
                      <a:fillRect/>
                    </a:stretch>
                  </pic:blipFill>
                  <pic:spPr>
                    <a:xfrm>
                      <a:off x="0" y="0"/>
                      <a:ext cx="5400675" cy="18478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体积雾相关Shader</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VolumetricFogParam.hlsl</w:t>
      </w:r>
      <w:r>
        <w:rPr>
          <w:rFonts w:eastAsia="宋体" w:ascii="Times New Roman" w:cs="Times New Roman" w:hAnsi="Times New Roman"/>
          <w:sz w:val="22"/>
        </w:rPr>
        <w:t>
</w:t>
      </w:r>
    </w:p>
    <w:p>
      <w:pPr>
        <w:jc w:val="left"/>
      </w:pPr>
      <w:r>
        <w:rPr>
          <w:rFonts w:eastAsia="宋体" w:ascii="Times New Roman" w:cs="Times New Roman" w:hAnsi="Times New Roman"/>
          <w:sz w:val="22"/>
        </w:rPr>
        <w:t>VolumetricFogForObject.hlsl</w:t>
      </w:r>
      <w:r>
        <w:rPr>
          <w:rFonts w:eastAsia="宋体" w:ascii="Times New Roman" w:cs="Times New Roman" w:hAnsi="Times New Roman"/>
          <w:sz w:val="22"/>
        </w:rPr>
        <w:t>
</w:t>
      </w:r>
    </w:p>
    <w:p>
      <w:pPr>
        <w:jc w:val="left"/>
      </w:pPr>
      <w:r>
        <w:rPr>
          <w:rFonts w:eastAsia="宋体" w:ascii="Times New Roman" w:cs="Times New Roman" w:hAnsi="Times New Roman"/>
          <w:sz w:val="22"/>
        </w:rPr>
        <w:t>VolumetricFogInc.hlsl</w:t>
      </w:r>
      <w:r>
        <w:rPr>
          <w:rFonts w:eastAsia="宋体" w:ascii="Times New Roman" w:cs="Times New Roman" w:hAnsi="Times New Roman"/>
          <w:sz w:val="22"/>
        </w:rPr>
        <w:t>
</w:t>
      </w:r>
    </w:p>
    <w:p>
      <w:pPr>
        <w:jc w:val="left"/>
      </w:pPr>
      <w:r>
        <w:rPr>
          <w:rFonts w:eastAsia="宋体" w:ascii="Times New Roman" w:cs="Times New Roman" w:hAnsi="Times New Roman"/>
          <w:sz w:val="22"/>
        </w:rPr>
        <w:t>VolumetricFog.shader</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使用说明</w:t>
      </w:r>
      <w:r>
        <w:rPr>
          <w:rFonts w:eastAsia="宋体" w:ascii="Times New Roman" w:cs="Times New Roman" w:hAnsi="Times New Roman"/>
          <w:b w:val="true"/>
          <w:sz w:val="44"/>
        </w:rPr>
        <w:t>
</w:t>
      </w:r>
    </w:p>
    <w:p>
      <w:pPr>
        <w:pStyle w:val="4"/>
        <w:spacing w:after="120" w:before="260"/>
        <w:jc w:val="left"/>
        <w:outlineLvl w:val="3"/>
      </w:pPr>
      <w:r>
        <w:rPr>
          <w:rFonts w:eastAsia="宋体" w:ascii="Times New Roman" w:cs="Times New Roman" w:hAnsi="Times New Roman"/>
          <w:b w:val="true"/>
          <w:sz w:val="28"/>
        </w:rPr>
        <w:t>修改环境物体Shader，使其支持体积雾</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修改方式如上图，顶点函数与片元函数</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创建环境变量控制实例</w:t>
      </w:r>
      <w:r>
        <w:rPr>
          <w:rFonts w:eastAsia="宋体" w:ascii="Times New Roman" w:cs="Times New Roman" w:hAnsi="Times New Roman"/>
          <w:b w:val="true"/>
          <w:sz w:val="28"/>
        </w:rPr>
        <w:t>
</w:t>
      </w:r>
    </w:p>
    <w:p>
      <w:pPr>
        <w:jc w:val="left"/>
      </w:pPr>
      <w:r>
        <w:rPr>
          <w:rFonts w:eastAsia="宋体" w:ascii="Times New Roman" w:cs="Times New Roman" w:hAnsi="Times New Roman"/>
          <w:sz w:val="22"/>
        </w:rPr>
        <w:drawing>
          <wp:inline distT="0" distB="0" distL="0" distR="0">
            <wp:extent cx="5400675" cy="32861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13"/>
                    <a:stretch>
                      <a:fillRect/>
                    </a:stretch>
                  </pic:blipFill>
                  <pic:spPr>
                    <a:xfrm>
                      <a:off x="0" y="0"/>
                      <a:ext cx="5400675" cy="3286125"/>
                    </a:xfrm>
                    <a:prstGeom prst="rect">
                      <a:avLst/>
                    </a:prstGeom>
                  </pic:spPr>
                </pic:pic>
              </a:graphicData>
            </a:graphic>
          </wp:inline>
        </w:drawing>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创建体积雾Cube</w:t>
      </w:r>
      <w:r>
        <w:rPr>
          <w:rFonts w:eastAsia="宋体" w:ascii="Times New Roman" w:cs="Times New Roman" w:hAnsi="Times New Roman"/>
          <w:b w:val="true"/>
          <w:sz w:val="28"/>
        </w:rPr>
        <w:t>
</w:t>
      </w:r>
    </w:p>
    <w:p>
      <w:pPr>
        <w:jc w:val="left"/>
      </w:pPr>
      <w:r>
        <w:rPr>
          <w:rFonts w:eastAsia="宋体" w:ascii="Times New Roman" w:cs="Times New Roman" w:hAnsi="Times New Roman"/>
          <w:sz w:val="22"/>
        </w:rPr>
        <w:drawing>
          <wp:inline distT="0" distB="0" distL="0" distR="0">
            <wp:extent cx="5400675" cy="687705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14"/>
                    <a:stretch>
                      <a:fillRect/>
                    </a:stretch>
                  </pic:blipFill>
                  <pic:spPr>
                    <a:xfrm>
                      <a:off x="0" y="0"/>
                      <a:ext cx="5400675" cy="6877050"/>
                    </a:xfrm>
                    <a:prstGeom prst="rect">
                      <a:avLst/>
                    </a:prstGeom>
                  </pic:spPr>
                </pic:pic>
              </a:graphicData>
            </a:graphic>
          </wp:inline>
        </w:drawing>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性能测试报告</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其他配置条件数值：</w:t>
      </w:r>
      <w:r>
        <w:rPr>
          <w:rFonts w:eastAsia="宋体" w:ascii="Times New Roman" w:cs="Times New Roman" w:hAnsi="Times New Roman"/>
          <w:sz w:val="22"/>
        </w:rPr>
        <w:t>
</w:t>
      </w:r>
    </w:p>
    <w:p>
      <w:pPr>
        <w:jc w:val="left"/>
      </w:pPr>
      <w:r>
        <w:rPr>
          <w:rFonts w:eastAsia="宋体" w:ascii="Times New Roman" w:cs="Times New Roman" w:hAnsi="Times New Roman"/>
          <w:sz w:val="22"/>
        </w:rPr>
        <w:t>雾浓度：</w:t>
      </w:r>
      <w:r>
        <w:rPr>
          <w:rFonts w:eastAsia="宋体" w:ascii="Times New Roman" w:cs="Times New Roman" w:hAnsi="Times New Roman"/>
          <w:sz w:val="22"/>
        </w:rPr>
        <w:t>0.86</w:t>
      </w: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散射系数：0.0</w:t>
      </w:r>
      <w:r>
        <w:rPr>
          <w:rFonts w:eastAsia="宋体" w:ascii="Times New Roman" w:cs="Times New Roman" w:hAnsi="Times New Roman"/>
          <w:sz w:val="22"/>
        </w:rPr>
        <w:t>5</w:t>
      </w:r>
      <w:r>
        <w:rPr>
          <w:rFonts w:eastAsia="宋体" w:ascii="Times New Roman" w:cs="Times New Roman" w:hAnsi="Times New Roman"/>
          <w:sz w:val="22"/>
        </w:rPr>
        <w:t>9</w:t>
      </w:r>
      <w:r>
        <w:rPr>
          <w:rFonts w:eastAsia="宋体" w:ascii="Times New Roman" w:cs="Times New Roman" w:hAnsi="Times New Roman"/>
          <w:sz w:val="22"/>
        </w:rPr>
        <w:t>
</w:t>
      </w:r>
    </w:p>
    <w:p>
      <w:pPr>
        <w:jc w:val="left"/>
      </w:pPr>
      <w:r>
        <w:rPr>
          <w:rFonts w:eastAsia="宋体" w:ascii="Times New Roman" w:cs="Times New Roman" w:hAnsi="Times New Roman"/>
          <w:sz w:val="22"/>
        </w:rPr>
        <w:t>吸收系数：0</w:t>
      </w:r>
      <w:r>
        <w:rPr>
          <w:rFonts w:eastAsia="宋体" w:ascii="Times New Roman" w:cs="Times New Roman" w:hAnsi="Times New Roman"/>
          <w:sz w:val="22"/>
        </w:rPr>
        <w:t>
</w:t>
      </w:r>
    </w:p>
    <w:p>
      <w:pPr>
        <w:jc w:val="left"/>
      </w:pPr>
      <w:r>
        <w:rPr>
          <w:rFonts w:eastAsia="宋体" w:ascii="Times New Roman" w:cs="Times New Roman" w:hAnsi="Times New Roman"/>
          <w:sz w:val="22"/>
        </w:rPr>
        <w:t>各向异数因数：0.</w:t>
      </w:r>
      <w:r>
        <w:rPr>
          <w:rFonts w:eastAsia="宋体" w:ascii="Times New Roman" w:cs="Times New Roman" w:hAnsi="Times New Roman"/>
          <w:sz w:val="22"/>
        </w:rPr>
        <w:t>069</w:t>
      </w:r>
      <w:r>
        <w:rPr>
          <w:rFonts w:eastAsia="宋体" w:ascii="Times New Roman" w:cs="Times New Roman" w:hAnsi="Times New Roman"/>
          <w:sz w:val="22"/>
        </w:rPr>
        <w:t>
</w:t>
      </w:r>
    </w:p>
    <w:p>
      <w:pPr>
        <w:jc w:val="left"/>
      </w:pPr>
      <w:r>
        <w:rPr>
          <w:rFonts w:eastAsia="宋体" w:ascii="Times New Roman" w:cs="Times New Roman" w:hAnsi="Times New Roman"/>
          <w:sz w:val="22"/>
        </w:rPr>
        <w:t>光照强度因数：</w:t>
      </w:r>
      <w:r>
        <w:rPr>
          <w:rFonts w:eastAsia="宋体" w:ascii="Times New Roman" w:cs="Times New Roman" w:hAnsi="Times New Roman"/>
          <w:sz w:val="22"/>
        </w:rPr>
        <w:t>6.7</w:t>
      </w:r>
      <w:r>
        <w:rPr>
          <w:rFonts w:eastAsia="宋体" w:ascii="Times New Roman" w:cs="Times New Roman" w:hAnsi="Times New Roman"/>
          <w:sz w:val="22"/>
        </w:rPr>
        <w:t>
</w:t>
      </w:r>
    </w:p>
    <w:p>
      <w:pPr>
        <w:jc w:val="left"/>
      </w:pPr>
      <w:r>
        <w:rPr>
          <w:rFonts w:eastAsia="宋体" w:ascii="Times New Roman" w:cs="Times New Roman" w:hAnsi="Times New Roman"/>
          <w:sz w:val="22"/>
        </w:rPr>
        <w:t>雾深度：103</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Android</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测试机型：小米9</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200525"/>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15"/>
                    <a:stretch>
                      <a:fillRect/>
                    </a:stretch>
                  </pic:blipFill>
                  <pic:spPr>
                    <a:xfrm>
                      <a:off x="0" y="0"/>
                      <a:ext cx="5400675" cy="42005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286250"/>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16"/>
                    <a:stretch>
                      <a:fillRect/>
                    </a:stretch>
                  </pic:blipFill>
                  <pic:spPr>
                    <a:xfrm>
                      <a:off x="0" y="0"/>
                      <a:ext cx="5400675" cy="4286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229100"/>
            <wp:docPr id="15" name="Picture 15" descr="Generated"/>
            <a:graphic xmlns:a="http://schemas.openxmlformats.org/drawingml/2006/main">
              <a:graphicData uri="http://schemas.openxmlformats.org/drawingml/2006/picture">
                <pic:pic xmlns:pic="http://schemas.openxmlformats.org/drawingml/2006/picture">
                  <pic:nvPicPr>
                    <pic:cNvPr id="15" name="Generated"/>
                    <pic:cNvPicPr/>
                  </pic:nvPicPr>
                  <pic:blipFill>
                    <a:blip r:embed="rId17"/>
                    <a:stretch>
                      <a:fillRect/>
                    </a:stretch>
                  </pic:blipFill>
                  <pic:spPr>
                    <a:xfrm>
                      <a:off x="0" y="0"/>
                      <a:ext cx="5400675" cy="42291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276725"/>
            <wp:docPr id="16" name="Picture 16" descr="Generated"/>
            <a:graphic xmlns:a="http://schemas.openxmlformats.org/drawingml/2006/main">
              <a:graphicData uri="http://schemas.openxmlformats.org/drawingml/2006/picture">
                <pic:pic xmlns:pic="http://schemas.openxmlformats.org/drawingml/2006/picture">
                  <pic:nvPicPr>
                    <pic:cNvPr id="16" name="Generated"/>
                    <pic:cNvPicPr/>
                  </pic:nvPicPr>
                  <pic:blipFill>
                    <a:blip r:embed="rId18"/>
                    <a:stretch>
                      <a:fillRect/>
                    </a:stretch>
                  </pic:blipFill>
                  <pic:spPr>
                    <a:xfrm>
                      <a:off x="0" y="0"/>
                      <a:ext cx="5400675" cy="42767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详细测试数据</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IOS</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测试机型：Iphone 11</w:t>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495800"/>
            <wp:docPr id="17" name="Picture 17" descr="Generated"/>
            <a:graphic xmlns:a="http://schemas.openxmlformats.org/drawingml/2006/main">
              <a:graphicData uri="http://schemas.openxmlformats.org/drawingml/2006/picture">
                <pic:pic xmlns:pic="http://schemas.openxmlformats.org/drawingml/2006/picture">
                  <pic:nvPicPr>
                    <pic:cNvPr id="17" name="Generated"/>
                    <pic:cNvPicPr/>
                  </pic:nvPicPr>
                  <pic:blipFill>
                    <a:blip r:embed="rId19"/>
                    <a:stretch>
                      <a:fillRect/>
                    </a:stretch>
                  </pic:blipFill>
                  <pic:spPr>
                    <a:xfrm>
                      <a:off x="0" y="0"/>
                      <a:ext cx="5400675" cy="44958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438650"/>
            <wp:docPr id="18" name="Picture 18" descr="Generated"/>
            <a:graphic xmlns:a="http://schemas.openxmlformats.org/drawingml/2006/main">
              <a:graphicData uri="http://schemas.openxmlformats.org/drawingml/2006/picture">
                <pic:pic xmlns:pic="http://schemas.openxmlformats.org/drawingml/2006/picture">
                  <pic:nvPicPr>
                    <pic:cNvPr id="18" name="Generated"/>
                    <pic:cNvPicPr/>
                  </pic:nvPicPr>
                  <pic:blipFill>
                    <a:blip r:embed="rId20"/>
                    <a:stretch>
                      <a:fillRect/>
                    </a:stretch>
                  </pic:blipFill>
                  <pic:spPr>
                    <a:xfrm>
                      <a:off x="0" y="0"/>
                      <a:ext cx="5400675" cy="44386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505325"/>
            <wp:docPr id="19" name="Picture 19" descr="Generated"/>
            <a:graphic xmlns:a="http://schemas.openxmlformats.org/drawingml/2006/main">
              <a:graphicData uri="http://schemas.openxmlformats.org/drawingml/2006/picture">
                <pic:pic xmlns:pic="http://schemas.openxmlformats.org/drawingml/2006/picture">
                  <pic:nvPicPr>
                    <pic:cNvPr id="19" name="Generated"/>
                    <pic:cNvPicPr/>
                  </pic:nvPicPr>
                  <pic:blipFill>
                    <a:blip r:embed="rId21"/>
                    <a:stretch>
                      <a:fillRect/>
                    </a:stretch>
                  </pic:blipFill>
                  <pic:spPr>
                    <a:xfrm>
                      <a:off x="0" y="0"/>
                      <a:ext cx="5400675" cy="45053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drawing>
          <wp:inline distT="0" distB="0" distL="0" distR="0">
            <wp:extent cx="5400675" cy="4419600"/>
            <wp:docPr id="20" name="Picture 20" descr="Generated"/>
            <a:graphic xmlns:a="http://schemas.openxmlformats.org/drawingml/2006/main">
              <a:graphicData uri="http://schemas.openxmlformats.org/drawingml/2006/picture">
                <pic:pic xmlns:pic="http://schemas.openxmlformats.org/drawingml/2006/picture">
                  <pic:nvPicPr>
                    <pic:cNvPr id="20" name="Generated"/>
                    <pic:cNvPicPr/>
                  </pic:nvPicPr>
                  <pic:blipFill>
                    <a:blip r:embed="rId22"/>
                    <a:stretch>
                      <a:fillRect/>
                    </a:stretch>
                  </pic:blipFill>
                  <pic:spPr>
                    <a:xfrm>
                      <a:off x="0" y="0"/>
                      <a:ext cx="5400675" cy="44196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详细测试数据</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参考文献链接</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参考章节：Chapter III-3 Volumetric Fog and Lighting</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23"/>
      <w:headerReference w:type="first" r:id="rId24"/>
      <w:headerReference w:type="even" r:id="rId25"/>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55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Hunter(徐国成)... 5169"/>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unter(徐国成)... 5169"/>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Hunter(徐国成)... 5169"/>
        </v:shape>
      </w:pict>
    </w:r>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styles.xml" Type="http://schemas.openxmlformats.org/officeDocument/2006/relationships/styles"/><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header1.xml" Type="http://schemas.openxmlformats.org/officeDocument/2006/relationships/header"/><Relationship Id="rId24" Target="header2.xml" Type="http://schemas.openxmlformats.org/officeDocument/2006/relationships/header"/><Relationship Id="rId25" Target="header3.xml" Type="http://schemas.openxmlformats.org/officeDocument/2006/relationships/header"/><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2021-11-17T03:29:42Z</dcterms:created>
  <dc:creator>Apache POI</dc:creator>
</cp:coreProperties>
</file>