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LuaHeapSpy使用指南</w:t>
      </w:r>
      <w:r>
        <w:rPr>
          <w:rFonts w:eastAsia="宋体" w:ascii="Times New Roman" w:cs="Times New Roman" w:hAnsi="Times New Roman"/>
          <w:b w:val="true"/>
          <w:sz w:val="52"/>
        </w:rPr>
        <w:t>
</w:t>
      </w:r>
    </w:p>
    <w:p>
      <w:pPr>
        <w:jc w:val="left"/>
      </w:pPr>
      <w:r>
        <w:rPr>
          <w:rFonts w:eastAsia="宋体" w:ascii="Times New Roman" w:cs="Times New Roman" w:hAnsi="Times New Roman"/>
          <w:sz w:val="22"/>
        </w:rPr>
        <w:t>LuaHeapSpy是 HeapExplore的功能扩展，提供了C#/C++对象在Lua中的引用信息。</w:t>
      </w:r>
      <w:r>
        <w:rPr>
          <w:rFonts w:eastAsia="宋体" w:ascii="Times New Roman" w:cs="Times New Roman" w:hAnsi="Times New Roman"/>
          <w:sz w:val="22"/>
        </w:rPr>
        <w:t>
</w:t>
      </w:r>
    </w:p>
    <w:p>
      <w:pPr>
        <w:jc w:val="left"/>
      </w:pPr>
      <w:r>
        <w:rPr>
          <w:rFonts w:eastAsia="宋体" w:ascii="Times New Roman" w:cs="Times New Roman" w:hAnsi="Times New Roman"/>
          <w:sz w:val="22"/>
        </w:rPr>
        <w:t>为了获取和关联HeapExplore与Lua堆栈的数据，我们需要按照以下步骤操作。</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第一步，获取HeapExplore数据</w:t>
      </w:r>
      <w:r>
        <w:rPr>
          <w:rFonts w:eastAsia="宋体" w:ascii="Times New Roman" w:cs="Times New Roman" w:hAnsi="Times New Roman"/>
          <w:b w:val="true"/>
          <w:sz w:val="44"/>
        </w:rPr>
        <w:t>
</w:t>
      </w:r>
    </w:p>
    <w:p>
      <w:pPr>
        <w:numPr>
          <w:numId w:val="1"/>
        </w:numPr>
        <w:ind w:left="0"/>
        <w:jc w:val="left"/>
      </w:pPr>
      <w:r>
        <w:rPr>
          <w:rFonts w:eastAsia="宋体" w:ascii="Times New Roman" w:cs="Times New Roman" w:hAnsi="Times New Roman"/>
          <w:sz w:val="22"/>
        </w:rPr>
        <w:t>手机与电脑连接</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3162300" cy="800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5"/>
                    <a:stretch>
                      <a:fillRect/>
                    </a:stretch>
                  </pic:blipFill>
                  <pic:spPr>
                    <a:xfrm>
                      <a:off x="0" y="0"/>
                      <a:ext cx="3162300" cy="800100"/>
                    </a:xfrm>
                    <a:prstGeom prst="rect">
                      <a:avLst/>
                    </a:prstGeom>
                  </pic:spPr>
                </pic:pic>
              </a:graphicData>
            </a:graphic>
          </wp:inline>
        </w:drawing>
      </w:r>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sz w:val="22"/>
        </w:rPr>
        <w:t>Editor与应用程序连接</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32385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6"/>
                    <a:stretch>
                      <a:fillRect/>
                    </a:stretch>
                  </pic:blipFill>
                  <pic:spPr>
                    <a:xfrm>
                      <a:off x="0" y="0"/>
                      <a:ext cx="5400675" cy="323850"/>
                    </a:xfrm>
                    <a:prstGeom prst="rect">
                      <a:avLst/>
                    </a:prstGeom>
                  </pic:spPr>
                </pic:pic>
              </a:graphicData>
            </a:graphic>
          </wp:inline>
        </w:drawing>
      </w:r>
      <w:r>
        <w:rPr>
          <w:rFonts w:eastAsia="宋体" w:ascii="Times New Roman" w:cs="Times New Roman" w:hAnsi="Times New Roman"/>
          <w:sz w:val="22"/>
        </w:rPr>
        <w:t>
</w:t>
      </w:r>
    </w:p>
    <w:p>
      <w:pPr>
        <w:numPr>
          <w:numId w:val="3"/>
        </w:numPr>
        <w:ind w:left="0"/>
        <w:jc w:val="left"/>
      </w:pPr>
      <w:r>
        <w:rPr>
          <w:rFonts w:eastAsia="宋体" w:ascii="Times New Roman" w:cs="Times New Roman" w:hAnsi="Times New Roman"/>
          <w:sz w:val="22"/>
        </w:rPr>
        <w:t>确保PC Editor上Profiler正常运行</w:t>
      </w:r>
      <w:r>
        <w:rPr>
          <w:rFonts w:eastAsia="宋体" w:ascii="Times New Roman" w:cs="Times New Roman" w:hAnsi="Times New Roman"/>
          <w:sz w:val="22"/>
        </w:rPr>
        <w:t>
</w:t>
      </w:r>
    </w:p>
    <w:p>
      <w:pPr>
        <w:jc w:val="left"/>
      </w:pPr>
      <w:r>
        <w:rPr>
          <w:rFonts w:eastAsia="宋体" w:ascii="Times New Roman" w:cs="Times New Roman" w:hAnsi="Times New Roman"/>
          <w:sz w:val="22"/>
        </w:rPr>
        <w:t>Unity Profier : Window\Analysis\Profiler</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4003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7"/>
                    <a:stretch>
                      <a:fillRect/>
                    </a:stretch>
                  </pic:blipFill>
                  <pic:spPr>
                    <a:xfrm>
                      <a:off x="0" y="0"/>
                      <a:ext cx="5400675" cy="2400300"/>
                    </a:xfrm>
                    <a:prstGeom prst="rect">
                      <a:avLst/>
                    </a:prstGeom>
                  </pic:spPr>
                </pic:pic>
              </a:graphicData>
            </a:graphic>
          </wp:inline>
        </w:drawing>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sz w:val="22"/>
        </w:rPr>
        <w:t>打开HeapExplorer，截取游戏中的快照</w:t>
      </w:r>
      <w:r>
        <w:rPr>
          <w:rFonts w:eastAsia="宋体" w:ascii="Times New Roman" w:cs="Times New Roman" w:hAnsi="Times New Roman"/>
          <w:sz w:val="22"/>
        </w:rPr>
        <w:t>
</w:t>
      </w:r>
    </w:p>
    <w:p>
      <w:pPr>
        <w:jc w:val="left"/>
      </w:pPr>
      <w:r>
        <w:rPr>
          <w:rFonts w:eastAsia="宋体" w:ascii="Times New Roman" w:cs="Times New Roman" w:hAnsi="Times New Roman"/>
          <w:sz w:val="22"/>
        </w:rPr>
        <w:t>Heap Explorer : Window\Analysis\Heap Explorer</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188595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r:embed="rId8"/>
                    <a:stretch>
                      <a:fillRect/>
                    </a:stretch>
                  </pic:blipFill>
                  <pic:spPr>
                    <a:xfrm>
                      <a:off x="0" y="0"/>
                      <a:ext cx="5400675" cy="1885950"/>
                    </a:xfrm>
                    <a:prstGeom prst="rect">
                      <a:avLst/>
                    </a:prstGeom>
                  </pic:spPr>
                </pic:pic>
              </a:graphicData>
            </a:graphic>
          </wp:inline>
        </w:drawing>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第二步，获取LuaHeap快照</w:t>
      </w:r>
      <w:r>
        <w:rPr>
          <w:rFonts w:eastAsia="宋体" w:ascii="Times New Roman" w:cs="Times New Roman" w:hAnsi="Times New Roman"/>
          <w:b w:val="true"/>
          <w:sz w:val="44"/>
        </w:rPr>
        <w:t>
</w:t>
      </w:r>
    </w:p>
    <w:p>
      <w:pPr>
        <w:numPr>
          <w:numId w:val="5"/>
        </w:numPr>
        <w:ind w:left="0"/>
        <w:jc w:val="left"/>
      </w:pPr>
      <w:r>
        <w:rPr>
          <w:rFonts w:eastAsia="宋体" w:ascii="Times New Roman" w:cs="Times New Roman" w:hAnsi="Times New Roman"/>
          <w:sz w:val="22"/>
        </w:rPr>
        <w:t>打开SRDebugger界面</w:t>
      </w:r>
      <w:r>
        <w:rPr>
          <w:rFonts w:eastAsia="宋体" w:ascii="Times New Roman" w:cs="Times New Roman" w:hAnsi="Times New Roman"/>
          <w:sz w:val="22"/>
        </w:rPr>
        <w:t>
</w:t>
      </w:r>
    </w:p>
    <w:p>
      <w:pPr>
        <w:jc w:val="left"/>
      </w:pPr>
      <w:r>
        <w:rPr>
          <w:rFonts w:eastAsia="宋体" w:ascii="Times New Roman" w:cs="Times New Roman" w:hAnsi="Times New Roman"/>
          <w:sz w:val="22"/>
        </w:rPr>
        <w:t>PC：alt + shift + ctrl + f1</w:t>
      </w:r>
      <w:r>
        <w:rPr>
          <w:rFonts w:eastAsia="宋体" w:ascii="Times New Roman" w:cs="Times New Roman" w:hAnsi="Times New Roman"/>
          <w:sz w:val="22"/>
        </w:rPr>
        <w:t>
</w:t>
      </w:r>
    </w:p>
    <w:p>
      <w:pPr>
        <w:jc w:val="left"/>
      </w:pPr>
      <w:r>
        <w:rPr>
          <w:rFonts w:eastAsia="宋体" w:ascii="Times New Roman" w:cs="Times New Roman" w:hAnsi="Times New Roman"/>
          <w:sz w:val="22"/>
        </w:rPr>
        <w:t>Mobile：左侧中间位置连续点击</w:t>
      </w:r>
      <w:r>
        <w:rPr>
          <w:rFonts w:eastAsia="宋体" w:ascii="Times New Roman" w:cs="Times New Roman" w:hAnsi="Times New Roman"/>
          <w:sz w:val="22"/>
        </w:rPr>
        <w:t>
</w:t>
      </w:r>
    </w:p>
    <w:p>
      <w:pPr>
        <w:numPr>
          <w:numId w:val="6"/>
        </w:numPr>
        <w:ind w:left="0"/>
        <w:jc w:val="left"/>
      </w:pPr>
      <w:r>
        <w:rPr>
          <w:rFonts w:eastAsia="宋体" w:ascii="Times New Roman" w:cs="Times New Roman" w:hAnsi="Times New Roman"/>
          <w:sz w:val="22"/>
        </w:rPr>
        <w:t>找到Options选项卡，点击LuaHeap快照</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7717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r:embed="rId9"/>
                    <a:stretch>
                      <a:fillRect/>
                    </a:stretch>
                  </pic:blipFill>
                  <pic:spPr>
                    <a:xfrm>
                      <a:off x="0" y="0"/>
                      <a:ext cx="5400675" cy="2771775"/>
                    </a:xfrm>
                    <a:prstGeom prst="rect">
                      <a:avLst/>
                    </a:prstGeom>
                  </pic:spPr>
                </pic:pic>
              </a:graphicData>
            </a:graphic>
          </wp:inline>
        </w:drawing>
      </w:r>
      <w:r>
        <w:rPr>
          <w:rFonts w:eastAsia="宋体" w:ascii="Times New Roman" w:cs="Times New Roman" w:hAnsi="Times New Roman"/>
          <w:sz w:val="22"/>
        </w:rPr>
        <w:t>
</w:t>
      </w:r>
    </w:p>
    <w:p>
      <w:pPr>
        <w:numPr>
          <w:numId w:val="7"/>
        </w:numPr>
        <w:ind w:left="0"/>
        <w:jc w:val="left"/>
      </w:pPr>
      <w:r>
        <w:rPr>
          <w:rFonts w:eastAsia="宋体" w:ascii="Times New Roman" w:cs="Times New Roman" w:hAnsi="Times New Roman"/>
          <w:sz w:val="22"/>
        </w:rPr>
        <w:t>将保存的Lua快照数据取出到自己指定的位置。源数据位置如下：</w:t>
      </w:r>
      <w:r>
        <w:rPr>
          <w:rFonts w:eastAsia="宋体" w:ascii="Times New Roman" w:cs="Times New Roman" w:hAnsi="Times New Roman"/>
          <w:sz w:val="22"/>
        </w:rPr>
        <w:t>
</w:t>
      </w:r>
    </w:p>
    <w:p>
      <w:pPr>
        <w:numPr>
          <w:numId w:val="8"/>
        </w:numPr>
        <w:ind w:left="453"/>
        <w:jc w:val="left"/>
      </w:pPr>
      <w:r>
        <w:rPr>
          <w:rFonts w:eastAsia="宋体" w:ascii="Times New Roman" w:cs="Times New Roman" w:hAnsi="Times New Roman"/>
          <w:sz w:val="22"/>
        </w:rPr>
        <w:t>PC位置在Assets目录下</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3514725" cy="17430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0"/>
                    <a:stretch>
                      <a:fillRect/>
                    </a:stretch>
                  </pic:blipFill>
                  <pic:spPr>
                    <a:xfrm>
                      <a:off x="0" y="0"/>
                      <a:ext cx="3514725" cy="1743075"/>
                    </a:xfrm>
                    <a:prstGeom prst="rect">
                      <a:avLst/>
                    </a:prstGeom>
                  </pic:spPr>
                </pic:pic>
              </a:graphicData>
            </a:graphic>
          </wp:inline>
        </w:drawing>
      </w:r>
      <w:r>
        <w:rPr>
          <w:rFonts w:eastAsia="宋体" w:ascii="Times New Roman" w:cs="Times New Roman" w:hAnsi="Times New Roman"/>
          <w:sz w:val="22"/>
        </w:rPr>
        <w:t>
</w:t>
      </w:r>
    </w:p>
    <w:p>
      <w:pPr>
        <w:numPr>
          <w:numId w:val="9"/>
        </w:numPr>
        <w:ind w:left="453"/>
        <w:jc w:val="left"/>
      </w:pPr>
      <w:r>
        <w:rPr>
          <w:rFonts w:eastAsia="宋体" w:ascii="Times New Roman" w:cs="Times New Roman" w:hAnsi="Times New Roman"/>
          <w:sz w:val="22"/>
        </w:rPr>
        <w:t>手机位置在安装目录中</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317182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1"/>
                    <a:stretch>
                      <a:fillRect/>
                    </a:stretch>
                  </pic:blipFill>
                  <pic:spPr>
                    <a:xfrm>
                      <a:off x="0" y="0"/>
                      <a:ext cx="5400675" cy="3171825"/>
                    </a:xfrm>
                    <a:prstGeom prst="rect">
                      <a:avLst/>
                    </a:prstGeom>
                  </pic:spPr>
                </pic:pic>
              </a:graphicData>
            </a:graphic>
          </wp:inline>
        </w:drawing>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第三步，关联HeapExplore数据与LuaHeap</w:t>
      </w:r>
      <w:r>
        <w:rPr>
          <w:rFonts w:eastAsia="宋体" w:ascii="Times New Roman" w:cs="Times New Roman" w:hAnsi="Times New Roman"/>
          <w:b w:val="true"/>
          <w:sz w:val="44"/>
        </w:rPr>
        <w:t>
</w:t>
      </w:r>
    </w:p>
    <w:p>
      <w:pPr>
        <w:numPr>
          <w:numId w:val="10"/>
        </w:numPr>
        <w:ind w:left="0"/>
        <w:jc w:val="left"/>
      </w:pPr>
      <w:r>
        <w:rPr>
          <w:rFonts w:eastAsia="宋体" w:ascii="Times New Roman" w:cs="Times New Roman" w:hAnsi="Times New Roman"/>
          <w:sz w:val="22"/>
        </w:rPr>
        <w:t>打开HeapExplore快照；</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336232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r:embed="rId12"/>
                    <a:stretch>
                      <a:fillRect/>
                    </a:stretch>
                  </pic:blipFill>
                  <pic:spPr>
                    <a:xfrm>
                      <a:off x="0" y="0"/>
                      <a:ext cx="5400675" cy="3362325"/>
                    </a:xfrm>
                    <a:prstGeom prst="rect">
                      <a:avLst/>
                    </a:prstGeom>
                  </pic:spPr>
                </pic:pic>
              </a:graphicData>
            </a:graphic>
          </wp:inline>
        </w:drawing>
      </w:r>
      <w:r>
        <w:rPr>
          <w:rFonts w:eastAsia="宋体" w:ascii="Times New Roman" w:cs="Times New Roman" w:hAnsi="Times New Roman"/>
          <w:sz w:val="22"/>
        </w:rPr>
        <w:t>
</w:t>
      </w:r>
    </w:p>
    <w:p>
      <w:pPr>
        <w:numPr>
          <w:numId w:val="11"/>
        </w:numPr>
        <w:ind w:left="0"/>
        <w:jc w:val="left"/>
      </w:pPr>
      <w:r>
        <w:rPr>
          <w:rFonts w:eastAsia="宋体" w:ascii="Times New Roman" w:cs="Times New Roman" w:hAnsi="Times New Roman"/>
          <w:sz w:val="22"/>
        </w:rPr>
        <w:t>点击左上角HeapExplore按钮，选择存放的Luaheap数据源；</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1323975" cy="333375"/>
            <wp:docPr id="10" name="Picture 10" descr="Generated"/>
            <a:graphic xmlns:a="http://schemas.openxmlformats.org/drawingml/2006/main">
              <a:graphicData uri="http://schemas.openxmlformats.org/drawingml/2006/picture">
                <pic:pic xmlns:pic="http://schemas.openxmlformats.org/drawingml/2006/picture">
                  <pic:nvPicPr>
                    <pic:cNvPr id="10" name="Generated"/>
                    <pic:cNvPicPr/>
                  </pic:nvPicPr>
                  <pic:blipFill>
                    <a:blip r:embed="rId13"/>
                    <a:stretch>
                      <a:fillRect/>
                    </a:stretch>
                  </pic:blipFill>
                  <pic:spPr>
                    <a:xfrm>
                      <a:off x="0" y="0"/>
                      <a:ext cx="1323975" cy="333375"/>
                    </a:xfrm>
                    <a:prstGeom prst="rect">
                      <a:avLst/>
                    </a:prstGeom>
                  </pic:spPr>
                </pic:pic>
              </a:graphicData>
            </a:graphic>
          </wp:inline>
        </w:drawing>
      </w:r>
      <w:r>
        <w:rPr>
          <w:rFonts w:eastAsia="宋体" w:ascii="Times New Roman" w:cs="Times New Roman" w:hAnsi="Times New Roman"/>
          <w:sz w:val="22"/>
        </w:rPr>
        <w:t>
</w:t>
      </w:r>
    </w:p>
    <w:p>
      <w:pPr>
        <w:numPr>
          <w:numId w:val="12"/>
        </w:numPr>
        <w:ind w:left="0"/>
        <w:jc w:val="left"/>
      </w:pPr>
      <w:r>
        <w:rPr>
          <w:rFonts w:eastAsia="宋体" w:ascii="Times New Roman" w:cs="Times New Roman" w:hAnsi="Times New Roman"/>
          <w:sz w:val="22"/>
        </w:rPr>
        <w:t>打开C++对象或者C#对象，如果LuaHeapSpy捕获到关联的Lua数据，则可以点击眼睛图标浏览Lua堆栈数据。</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3810000"/>
            <wp:docPr id="11" name="Picture 11" descr="Generated"/>
            <a:graphic xmlns:a="http://schemas.openxmlformats.org/drawingml/2006/main">
              <a:graphicData uri="http://schemas.openxmlformats.org/drawingml/2006/picture">
                <pic:pic xmlns:pic="http://schemas.openxmlformats.org/drawingml/2006/picture">
                  <pic:nvPicPr>
                    <pic:cNvPr id="11" name="Generated"/>
                    <pic:cNvPicPr/>
                  </pic:nvPicPr>
                  <pic:blipFill>
                    <a:blip r:embed="rId14"/>
                    <a:stretch>
                      <a:fillRect/>
                    </a:stretch>
                  </pic:blipFill>
                  <pic:spPr>
                    <a:xfrm>
                      <a:off x="0" y="0"/>
                      <a:ext cx="5400675" cy="3810000"/>
                    </a:xfrm>
                    <a:prstGeom prst="rect">
                      <a:avLst/>
                    </a:prstGeom>
                  </pic:spPr>
                </pic:pic>
              </a:graphicData>
            </a:graphic>
          </wp:inline>
        </w:drawing>
      </w:r>
      <w:r>
        <w:rPr>
          <w:rFonts w:eastAsia="宋体" w:ascii="Times New Roman" w:cs="Times New Roman" w:hAnsi="Times New Roman"/>
          <w:sz w:val="22"/>
        </w:rPr>
        <w:t>
</w:t>
      </w:r>
    </w:p>
    <w:p>
      <w:pPr>
        <w:numPr>
          <w:numId w:val="13"/>
        </w:numPr>
        <w:ind w:left="453"/>
        <w:jc w:val="left"/>
      </w:pPr>
      <w:r>
        <w:rPr>
          <w:rFonts w:eastAsia="宋体" w:ascii="Times New Roman" w:cs="Times New Roman" w:hAnsi="Times New Roman"/>
          <w:sz w:val="22"/>
        </w:rPr>
        <w:t>绿色：可以确定Lua堆栈数据与此C#对象的关联关系，InstanceID相等；</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219700" cy="3314700"/>
            <wp:docPr id="12" name="Picture 12" descr="Generated"/>
            <a:graphic xmlns:a="http://schemas.openxmlformats.org/drawingml/2006/main">
              <a:graphicData uri="http://schemas.openxmlformats.org/drawingml/2006/picture">
                <pic:pic xmlns:pic="http://schemas.openxmlformats.org/drawingml/2006/picture">
                  <pic:nvPicPr>
                    <pic:cNvPr id="12" name="Generated"/>
                    <pic:cNvPicPr/>
                  </pic:nvPicPr>
                  <pic:blipFill>
                    <a:blip r:embed="rId15"/>
                    <a:stretch>
                      <a:fillRect/>
                    </a:stretch>
                  </pic:blipFill>
                  <pic:spPr>
                    <a:xfrm>
                      <a:off x="0" y="0"/>
                      <a:ext cx="5219700" cy="3314700"/>
                    </a:xfrm>
                    <a:prstGeom prst="rect">
                      <a:avLst/>
                    </a:prstGeom>
                  </pic:spPr>
                </pic:pic>
              </a:graphicData>
            </a:graphic>
          </wp:inline>
        </w:drawing>
      </w:r>
      <w:r>
        <w:rPr>
          <w:rFonts w:eastAsia="宋体" w:ascii="Times New Roman" w:cs="Times New Roman" w:hAnsi="Times New Roman"/>
          <w:sz w:val="22"/>
        </w:rPr>
        <w:t>
</w:t>
      </w:r>
    </w:p>
    <w:p>
      <w:pPr>
        <w:numPr>
          <w:numId w:val="14"/>
        </w:numPr>
        <w:ind w:left="453"/>
        <w:jc w:val="left"/>
      </w:pPr>
      <w:r>
        <w:rPr>
          <w:rFonts w:eastAsia="宋体" w:ascii="Times New Roman" w:cs="Times New Roman" w:hAnsi="Times New Roman"/>
          <w:sz w:val="22"/>
        </w:rPr>
        <w:t>黄色：无法获取InstanceID，如：自定义的C#对象等，不继承自UnityEngine.Object的内容。但是这两个对象的名称一致，点击后会打开所有可能引用的点，供参考修复。</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3943350"/>
            <wp:docPr id="13" name="Picture 13" descr="Generated"/>
            <a:graphic xmlns:a="http://schemas.openxmlformats.org/drawingml/2006/main">
              <a:graphicData uri="http://schemas.openxmlformats.org/drawingml/2006/picture">
                <pic:pic xmlns:pic="http://schemas.openxmlformats.org/drawingml/2006/picture">
                  <pic:nvPicPr>
                    <pic:cNvPr id="13" name="Generated"/>
                    <pic:cNvPicPr/>
                  </pic:nvPicPr>
                  <pic:blipFill>
                    <a:blip r:embed="rId16"/>
                    <a:stretch>
                      <a:fillRect/>
                    </a:stretch>
                  </pic:blipFill>
                  <pic:spPr>
                    <a:xfrm>
                      <a:off x="0" y="0"/>
                      <a:ext cx="5400675" cy="3943350"/>
                    </a:xfrm>
                    <a:prstGeom prst="rect">
                      <a:avLst/>
                    </a:prstGeom>
                  </pic:spPr>
                </pic:pic>
              </a:graphicData>
            </a:graphic>
          </wp:inline>
        </w:drawing>
      </w:r>
      <w:r>
        <w:rPr>
          <w:rFonts w:eastAsia="宋体" w:ascii="Times New Roman" w:cs="Times New Roman" w:hAnsi="Times New Roman"/>
          <w:sz w:val="22"/>
        </w:rPr>
        <w:t>
</w:t>
      </w:r>
    </w:p>
    <w:p>
      <w:pPr>
        <w:numPr>
          <w:numId w:val="15"/>
        </w:numPr>
        <w:ind w:left="453"/>
        <w:jc w:val="left"/>
      </w:pPr>
      <w:r>
        <w:rPr>
          <w:rFonts w:eastAsia="宋体" w:ascii="Times New Roman" w:cs="Times New Roman" w:hAnsi="Times New Roman"/>
          <w:sz w:val="22"/>
        </w:rPr>
        <w:t>PS：部分特殊对象可以自己写方法验证一致性。具体内容可参考 LuaHeapSpyProxy 内注释，或与作者联系。</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17"/>
      <w:headerReference w:type="first" r:id="rId18"/>
      <w:headerReference w:type="even" r:id="rId19"/>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55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Hunter(徐国成)... 516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Hunter(徐国成)... 516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Hunter(徐国成)... 5169"/>
        </v:shape>
      </w:pict>
    </w:r>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abstractNum w:abstractNumId="2">
    <w:lvl>
      <w:start w:val="2"/>
      <w:numFmt w:val="decimal"/>
      <w:suff w:val="space"/>
      <w:lvlText w:val="%1."/>
      <w:rPr>
        <w:color w:val="0070f0"/>
      </w:rPr>
    </w:lvl>
  </w:abstractNum>
  <w:abstractNum w:abstractNumId="3">
    <w:lvl>
      <w:start w:val="3"/>
      <w:numFmt w:val="decimal"/>
      <w:suff w:val="space"/>
      <w:lvlText w:val="%1."/>
      <w:rPr>
        <w:color w:val="0070f0"/>
      </w:rPr>
    </w:lvl>
  </w:abstractNum>
  <w:abstractNum w:abstractNumId="4">
    <w:lvl>
      <w:start w:val="4"/>
      <w:numFmt w:val="decimal"/>
      <w:suff w:val="space"/>
      <w:lvlText w:val="%1."/>
      <w:rPr>
        <w:color w:val="0070f0"/>
      </w:rPr>
    </w:lvl>
  </w:abstractNum>
  <w:abstractNum w:abstractNumId="5">
    <w:lvl>
      <w:start w:val="1"/>
      <w:numFmt w:val="decimal"/>
      <w:suff w:val="space"/>
      <w:lvlText w:val="%1."/>
      <w:rPr>
        <w:color w:val="0070f0"/>
      </w:rPr>
    </w:lvl>
  </w:abstractNum>
  <w:abstractNum w:abstractNumId="6">
    <w:lvl>
      <w:start w:val="2"/>
      <w:numFmt w:val="decimal"/>
      <w:suff w:val="space"/>
      <w:lvlText w:val="%1."/>
      <w:rPr>
        <w:color w:val="0070f0"/>
      </w:rPr>
    </w:lvl>
  </w:abstractNum>
  <w:abstractNum w:abstractNumId="7">
    <w:lvl>
      <w:start w:val="3"/>
      <w:numFmt w:val="decimal"/>
      <w:suff w:val="space"/>
      <w:lvlText w:val="%1."/>
      <w:rPr>
        <w:color w:val="0070f0"/>
      </w:rPr>
    </w:lvl>
  </w:abstractNum>
  <w:abstractNum w:abstractNumId="8">
    <w:lvl>
      <w:start w:val="1"/>
      <w:numFmt w:val="lowerLetter"/>
      <w:suff w:val="space"/>
      <w:lvlText w:val="%1."/>
      <w:rPr>
        <w:color w:val="0070f0"/>
      </w:rPr>
    </w:lvl>
  </w:abstractNum>
  <w:abstractNum w:abstractNumId="9">
    <w:lvl>
      <w:start w:val="2"/>
      <w:numFmt w:val="lowerLetter"/>
      <w:suff w:val="space"/>
      <w:lvlText w:val="%1."/>
      <w:rPr>
        <w:color w:val="0070f0"/>
      </w:rPr>
    </w:lvl>
  </w:abstractNum>
  <w:abstractNum w:abstractNumId="10">
    <w:lvl>
      <w:start w:val="1"/>
      <w:numFmt w:val="decimal"/>
      <w:suff w:val="space"/>
      <w:lvlText w:val="%1."/>
      <w:rPr>
        <w:color w:val="0070f0"/>
      </w:rPr>
    </w:lvl>
  </w:abstractNum>
  <w:abstractNum w:abstractNumId="11">
    <w:lvl>
      <w:start w:val="2"/>
      <w:numFmt w:val="decimal"/>
      <w:suff w:val="space"/>
      <w:lvlText w:val="%1."/>
      <w:rPr>
        <w:color w:val="0070f0"/>
      </w:rPr>
    </w:lvl>
  </w:abstractNum>
  <w:abstractNum w:abstractNumId="12">
    <w:lvl>
      <w:start w:val="3"/>
      <w:numFmt w:val="decimal"/>
      <w:suff w:val="space"/>
      <w:lvlText w:val="%1."/>
      <w:rPr>
        <w:color w:val="0070f0"/>
      </w:rPr>
    </w:lvl>
  </w:abstractNum>
  <w:abstractNum w:abstractNumId="13">
    <w:lvl>
      <w:start w:val="1"/>
      <w:numFmt w:val="lowerLetter"/>
      <w:suff w:val="space"/>
      <w:lvlText w:val="%1."/>
      <w:rPr>
        <w:color w:val="0070f0"/>
      </w:rPr>
    </w:lvl>
  </w:abstractNum>
  <w:abstractNum w:abstractNumId="14">
    <w:lvl>
      <w:start w:val="2"/>
      <w:numFmt w:val="lowerLetter"/>
      <w:suff w:val="space"/>
      <w:lvlText w:val="%1."/>
      <w:rPr>
        <w:color w:val="0070f0"/>
      </w:rPr>
    </w:lvl>
  </w:abstractNum>
  <w:abstractNum w:abstractNumId="15">
    <w:lvl>
      <w:start w:val="3"/>
      <w:numFmt w:val="lowerLetter"/>
      <w:suff w:val="space"/>
      <w:lvlText w:val="%1."/>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media/image10.png" Type="http://schemas.openxmlformats.org/officeDocument/2006/relationships/image"/><Relationship Id="rId15" Target="media/image11.png" Type="http://schemas.openxmlformats.org/officeDocument/2006/relationships/image"/><Relationship Id="rId16" Target="media/image12.png" Type="http://schemas.openxmlformats.org/officeDocument/2006/relationships/image"/><Relationship Id="rId17" Target="header1.xml" Type="http://schemas.openxmlformats.org/officeDocument/2006/relationships/header"/><Relationship Id="rId18" Target="header2.xml" Type="http://schemas.openxmlformats.org/officeDocument/2006/relationships/header"/><Relationship Id="rId19"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2021-11-17T03:18:54Z</dcterms:created>
  <dc:creator>Apache POI</dc:creator>
</cp:coreProperties>
</file>