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80"/>
        <w:jc w:val="center"/>
      </w:pPr>
      <w:r>
        <w:rPr>
          <w:rFonts w:ascii="Calibri" w:hAnsi="Calibri"/>
          <w:b/>
          <w:i w:val="0"/>
          <w:color w:val="D94A16"/>
          <w:sz w:val="20"/>
        </w:rPr>
        <w:t>PROPOSTA DE PARCERIA TECNOLÓGICA E COMERCIAL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172B4D"/>
          <w:sz w:val="58"/>
        </w:rPr>
        <w:t>PLATAFORMA EDUCACIONAL</w:t>
        <w:br/>
        <w:t>WHITE-LABEL</w:t>
      </w:r>
    </w:p>
    <w:p>
      <w:pPr>
        <w:pStyle w:val="Subtitle"/>
        <w:jc w:val="center"/>
      </w:pPr>
      <w:r>
        <w:t>Tecnologia pronta para operar com marca, domínio e conteúdo próprios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FAFBFC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5"/>
                <w:sz w:val="19"/>
              </w:rPr>
              <w:t>Proponente</w:t>
            </w:r>
          </w:p>
        </w:tc>
        <w:tc>
          <w:tcPr>
            <w:tcW w:type="dxa" w:w="6660"/>
            <w:vAlign w:val="center"/>
            <w:shd w:fill="FAFBFC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B4D"/>
                <w:sz w:val="20"/>
              </w:rPr>
              <w:t>[SEU NOME / EMPRESA]</w:t>
            </w:r>
          </w:p>
        </w:tc>
      </w:tr>
      <w:tr>
        <w:trPr/>
        <w:tc>
          <w:tcPr>
            <w:tcW w:type="dxa" w:w="2700"/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5"/>
                <w:sz w:val="19"/>
              </w:rPr>
              <w:t>Operadora da marca</w:t>
            </w:r>
          </w:p>
        </w:tc>
        <w:tc>
          <w:tcPr>
            <w:tcW w:type="dxa" w:w="6660"/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B4D"/>
                <w:sz w:val="20"/>
              </w:rPr>
              <w:t>[NOME DA DIRETORA / EMPRESA]</w:t>
            </w:r>
          </w:p>
        </w:tc>
      </w:tr>
      <w:tr>
        <w:trPr/>
        <w:tc>
          <w:tcPr>
            <w:tcW w:type="dxa" w:w="2700"/>
            <w:vAlign w:val="center"/>
            <w:shd w:fill="FAFBFC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5"/>
                <w:sz w:val="19"/>
              </w:rPr>
              <w:t>Relacionamento comercial</w:t>
            </w:r>
          </w:p>
        </w:tc>
        <w:tc>
          <w:tcPr>
            <w:tcW w:type="dxa" w:w="6660"/>
            <w:vAlign w:val="center"/>
            <w:shd w:fill="FAFBFC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B4D"/>
                <w:sz w:val="20"/>
              </w:rPr>
              <w:t>[NOME DO INTERMEDIÁRIO]</w:t>
            </w:r>
          </w:p>
        </w:tc>
      </w:tr>
      <w:tr>
        <w:trPr/>
        <w:tc>
          <w:tcPr>
            <w:tcW w:type="dxa" w:w="2700"/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5"/>
                <w:sz w:val="19"/>
              </w:rPr>
              <w:t>Data</w:t>
            </w:r>
          </w:p>
        </w:tc>
        <w:tc>
          <w:tcPr>
            <w:tcW w:type="dxa" w:w="6660"/>
            <w:vAlign w:val="center"/>
            <w:tcMar>
              <w:top w:w="110" w:type="dxa"/>
              <w:bottom w:w="110" w:type="dxa"/>
              <w:start w:w="140" w:type="dxa"/>
              <w:end w:w="140" w:type="dxa"/>
            </w:tcMar>
            <w:tcBorders>
              <w:top w:val="nil"/>
              <w:bottom w:val="single" w:sz="4" w:color="D9DEE7"/>
              <w:left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B4D"/>
                <w:sz w:val="20"/>
              </w:rPr>
              <w:t>30 de agosto de 2026</w:t>
            </w:r>
          </w:p>
        </w:tc>
      </w:tr>
    </w:tbl>
    <w:p>
      <w:pPr>
        <w:spacing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3ED"/>
            <w:tcBorders>
              <w:top w:val="single" w:sz="10" w:space="0" w:color="D94A16"/>
              <w:bottom w:val="single" w:sz="4" w:space="0" w:color="D9DEE7"/>
              <w:left w:val="single" w:sz="10" w:space="0" w:color="D94A16"/>
              <w:right w:val="single" w:sz="4" w:space="0" w:color="D9DEE7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D94A16"/>
                <w:sz w:val="17"/>
              </w:rPr>
              <w:t>MODELO RECOMENDADO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2B4D"/>
                <w:sz w:val="26"/>
              </w:rPr>
              <w:t>Marca da operadora. Tecnologia licenciada.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D2939"/>
                <w:sz w:val="21"/>
              </w:rPr>
              <w:t>A diretora controla a marca, o domínio, o conteúdo e as vendas. O proponente preserva o código-fonte e recebe implantação e royalties recorrentes. O intermediário é remunerado por sua contribuição comercial.</w:t>
            </w:r>
          </w:p>
        </w:tc>
      </w:tr>
    </w:tbl>
    <w:p>
      <w:pPr>
        <w:spacing w:after="0"/>
      </w:pPr>
    </w:p>
    <w:p>
      <w:pPr>
        <w:spacing w:before="440"/>
        <w:jc w:val="center"/>
      </w:pPr>
      <w:r>
        <w:rPr>
          <w:rFonts w:ascii="Calibri" w:hAnsi="Calibri"/>
          <w:b w:val="0"/>
          <w:i/>
          <w:color w:val="667085"/>
          <w:sz w:val="17"/>
        </w:rPr>
        <w:t>Documento confidencial | Valores de referência sujeitos à validação jurídica, tributária e operacional</w:t>
      </w:r>
    </w:p>
    <w:p>
      <w:pPr>
        <w:pStyle w:val="Heading1"/>
        <w:keepNext/>
        <w:pageBreakBefore/>
      </w:pPr>
      <w:r>
        <w:t>1. Resumo executivo</w:t>
      </w:r>
    </w:p>
    <w:p>
      <w:r>
        <w:rPr>
          <w:rFonts w:ascii="Calibri" w:hAnsi="Calibri"/>
          <w:b w:val="0"/>
          <w:i w:val="0"/>
          <w:color w:val="1D2939"/>
          <w:sz w:val="22"/>
        </w:rPr>
        <w:t>Esta proposta apresenta caminhos para lançar uma plataforma educacional voltada a professores sob marca e domínio próprios da operadora, aproveitando uma tecnologia já desenvolvida e pronta para receber conteúdos, assinaturas e gestão comercial.</w:t>
      </w:r>
    </w:p>
    <w:p>
      <w:r>
        <w:rPr>
          <w:rFonts w:ascii="Calibri" w:hAnsi="Calibri"/>
          <w:b w:val="0"/>
          <w:i w:val="0"/>
          <w:color w:val="1D2939"/>
          <w:sz w:val="22"/>
        </w:rPr>
        <w:t>A recomendação principal é o licenciamento white-label. Nesse formato, a operadora constrói sua marca e comercializa assinaturas; o fornecedor tecnológico mantém a propriedade do software, realiza a implantação e assegura a continuidade técnica; e o responsável pelo relacionamento comercial recebe comissão conforme participação efetiva.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Borders>
              <w:top w:val="single" w:sz="10" w:space="0" w:color="2E74B5"/>
              <w:bottom w:val="single" w:sz="4" w:space="0" w:color="D9DEE7"/>
              <w:left w:val="single" w:sz="10" w:space="0" w:color="2E74B5"/>
              <w:right w:val="single" w:sz="4" w:space="0" w:color="D9DEE7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OBJETIVO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2B4D"/>
                <w:sz w:val="26"/>
              </w:rPr>
              <w:t>Chegar ao mercado com rapidez e responsabilidades claras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D2939"/>
                <w:sz w:val="21"/>
              </w:rPr>
              <w:t>Separar tecnologia, marca, conteúdo e vendas reduz conflitos, protege os investimentos de cada parte e cria uma base segura para expansão futura.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Público e canais de venda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Professor individual:</w:t>
      </w:r>
      <w:r>
        <w:rPr>
          <w:rFonts w:ascii="Calibri" w:hAnsi="Calibri"/>
          <w:b w:val="0"/>
          <w:i w:val="0"/>
          <w:color w:val="1D2939"/>
          <w:sz w:val="22"/>
        </w:rPr>
        <w:t xml:space="preserve"> assinatura mensal ou anual para acessar materiais, questões, recursos interativos e ferramentas de planejamento.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Escolas:</w:t>
      </w:r>
      <w:r>
        <w:rPr>
          <w:rFonts w:ascii="Calibri" w:hAnsi="Calibri"/>
          <w:b w:val="0"/>
          <w:i w:val="0"/>
          <w:color w:val="1D2939"/>
          <w:sz w:val="22"/>
        </w:rPr>
        <w:t xml:space="preserve"> contratação de pacotes institucionais com múltiplas licenças para suas equipes.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Parceiros educacionais:</w:t>
      </w:r>
      <w:r>
        <w:rPr>
          <w:rFonts w:ascii="Calibri" w:hAnsi="Calibri"/>
          <w:b w:val="0"/>
          <w:i w:val="0"/>
          <w:color w:val="1D2939"/>
          <w:sz w:val="22"/>
        </w:rPr>
        <w:t xml:space="preserve"> indicação, distribuição e produção de conteúdo mediante contrato e regras de atribuição.</w:t>
      </w:r>
    </w:p>
    <w:p>
      <w:pPr>
        <w:pStyle w:val="Heading2"/>
        <w:keepNext/>
      </w:pPr>
      <w:r>
        <w:t>1.2 Resultado esperado</w:t>
      </w:r>
    </w:p>
    <w:p>
      <w:r>
        <w:rPr>
          <w:rFonts w:ascii="Calibri" w:hAnsi="Calibri"/>
          <w:b w:val="0"/>
          <w:i w:val="0"/>
          <w:color w:val="1D2939"/>
          <w:sz w:val="22"/>
        </w:rPr>
        <w:t>A operação comercial poderá ser apresentada integralmente com a identidade visual da diretora ou de sua empresa, sem exposição da marca do fornecedor tecnológico ao professor final. A licença, contudo, não transfere o código-fonte nem o direito de replicar ou revender a tecnologia fora dos limites contratados.</w:t>
      </w:r>
    </w:p>
    <w:p>
      <w:pPr>
        <w:pStyle w:val="Heading1"/>
        <w:keepNext/>
        <w:pageBreakBefore/>
      </w:pPr>
      <w:r>
        <w:t>2. Estrutura das responsabilidades</w:t>
      </w:r>
    </w:p>
    <w:p>
      <w:r>
        <w:rPr>
          <w:rFonts w:ascii="Calibri" w:hAnsi="Calibri"/>
          <w:b w:val="0"/>
          <w:i w:val="0"/>
          <w:color w:val="1D2939"/>
          <w:sz w:val="22"/>
        </w:rPr>
        <w:t>A separação abaixo permite que cada participante seja remunerado por sua contribuição sem confundir propriedade do software, titularidade da marca e responsabilidade pelos conteúdos publicados.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200"/>
        <w:gridCol w:w="3700"/>
        <w:gridCol w:w="34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7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Responsabilidade principal</w:t>
            </w:r>
          </w:p>
        </w:tc>
        <w:tc>
          <w:tcPr>
            <w:tcW w:type="dxa" w:w="346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Ativos e direitos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Fornecedor tecnológico</w:t>
            </w:r>
          </w:p>
        </w:tc>
        <w:tc>
          <w:tcPr>
            <w:tcW w:type="dxa" w:w="3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Hospedagem, manutenção, segurança, atualizações e evolução contratada.</w:t>
            </w:r>
          </w:p>
        </w:tc>
        <w:tc>
          <w:tcPr>
            <w:tcW w:type="dxa" w:w="34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Código-fonte, arquitetura e componentes reutilizáveis.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Operadora da marca</w:t>
            </w:r>
          </w:p>
        </w:tc>
        <w:tc>
          <w:tcPr>
            <w:tcW w:type="dxa" w:w="37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Curadoria de conteúdo, posicionamento, atendimento comercial e vendas.</w:t>
            </w:r>
          </w:p>
        </w:tc>
        <w:tc>
          <w:tcPr>
            <w:tcW w:type="dxa" w:w="34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Marca, domínio, identidade visual e relacionamento com seus clientes.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Intermediário</w:t>
            </w:r>
          </w:p>
        </w:tc>
        <w:tc>
          <w:tcPr>
            <w:tcW w:type="dxa" w:w="3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Aproximação, negociação e acompanhamento comercial conforme escopo.</w:t>
            </w:r>
          </w:p>
        </w:tc>
        <w:tc>
          <w:tcPr>
            <w:tcW w:type="dxa" w:w="34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Comissão ou remuneração definida; sem titularidade automática do software.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2.1 Princípios de separação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A marca da operadora não transfere automaticamente a titularidade da tecnologia.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A autoria ou curadoria dos conteúdos não concede acesso ao código-fonte.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Comissão comercial não equivale a participação societária ou propriedade intelectual.</w:t>
      </w:r>
    </w:p>
    <w:p>
      <w:pPr>
        <w:pStyle w:val="Heading1"/>
        <w:keepNext/>
        <w:pageBreakBefore/>
      </w:pPr>
      <w:r>
        <w:t>3. Proposta A - Licenciamento white-label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3ED"/>
            <w:tcBorders>
              <w:top w:val="single" w:sz="10" w:space="0" w:color="D94A16"/>
              <w:bottom w:val="single" w:sz="4" w:space="0" w:color="D9DEE7"/>
              <w:left w:val="single" w:sz="10" w:space="0" w:color="D94A16"/>
              <w:right w:val="single" w:sz="4" w:space="0" w:color="D9DEE7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D94A16"/>
                <w:sz w:val="17"/>
              </w:rPr>
              <w:t>RECOMENDADA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2B4D"/>
                <w:sz w:val="26"/>
              </w:rPr>
              <w:t>Operação independente com tecnologia licenciada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D2939"/>
                <w:sz w:val="21"/>
              </w:rPr>
              <w:t>A operadora utiliza marca, domínio e conteúdo próprios, vende diretamente aos professores e escolas e remunera a plataforma por implantação e royalties.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Condições comerciais de referência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66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Condição proposta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Implantação</w:t>
            </w:r>
          </w:p>
        </w:tc>
        <w:tc>
          <w:tcPr>
            <w:tcW w:type="dxa" w:w="66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R$ 30.000,00 - 50% na assinatura e 50% na publicação da marca.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Faixa negociável</w:t>
            </w:r>
          </w:p>
        </w:tc>
        <w:tc>
          <w:tcPr>
            <w:tcW w:type="dxa" w:w="66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R$ 25.000,00 a R$ 50.000,00, conforme personalizações e migração de conteúdo.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Royalty da plataforma</w:t>
            </w:r>
          </w:p>
        </w:tc>
        <w:tc>
          <w:tcPr>
            <w:tcW w:type="dxa" w:w="66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20% da receita líquida efetivamente recebida.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Garantia mínima</w:t>
            </w:r>
          </w:p>
        </w:tc>
        <w:tc>
          <w:tcPr>
            <w:tcW w:type="dxa" w:w="66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R$ 1.500,00 por mês a partir do 7º mês de operação.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Prazo inicial</w:t>
            </w:r>
          </w:p>
        </w:tc>
        <w:tc>
          <w:tcPr>
            <w:tcW w:type="dxa" w:w="66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24 meses, com renovação mediante acordo.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Exclusividade</w:t>
            </w:r>
          </w:p>
        </w:tc>
        <w:tc>
          <w:tcPr>
            <w:tcW w:type="dxa" w:w="66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Não incluída. Exclusividade regional pode ser negociada mediante metas mínimas.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Código-fonte</w:t>
            </w:r>
          </w:p>
        </w:tc>
        <w:tc>
          <w:tcPr>
            <w:tcW w:type="dxa" w:w="66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9"/>
              </w:rPr>
              <w:t>Não incluído e não disponibilizado à operadora.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3.2 Entregas incluídas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Aplicação da identidade visual, logotipo, cores e nomenclaturas da marca.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Configuração do domínio, ambiente de produção e meios de pagamento definidos.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Painéis de professor, administração e gestão da operação.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Hospedagem, backups, manutenção corretiva e atualizações de segurança.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Treinamento inicial da equipe responsável pela alimentação dos conteúdos.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Relatório mensal de assinaturas, cancelamentos, receitas e base de cálculo dos royalties.</w:t>
      </w:r>
    </w:p>
    <w:p>
      <w:pPr>
        <w:pStyle w:val="Heading2"/>
        <w:keepNext/>
      </w:pPr>
      <w:r>
        <w:t>3.3 Itens cobrados separadamente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Novos módulos, integrações ou funcionalidades fora do produto atual.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Importação ou revisão manual de grandes volumes de conteúdo.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Campanhas de publicidade, produção audiovisual e atendimento pedagógico ao professor.</w:t>
      </w:r>
    </w:p>
    <w:p>
      <w:pPr>
        <w:pStyle w:val="Heading1"/>
        <w:keepNext/>
        <w:pageBreakBefore/>
      </w:pPr>
      <w:r>
        <w:t>4. Propostas alternativas</w:t>
      </w:r>
    </w:p>
    <w:p>
      <w:pPr>
        <w:pStyle w:val="Heading2"/>
        <w:keepNext/>
      </w:pPr>
      <w:r>
        <w:t>4.1 Proposta B - Parceria operacional sem sociedade imediata</w:t>
      </w:r>
    </w:p>
    <w:p>
      <w:r>
        <w:rPr>
          <w:rFonts w:ascii="Calibri" w:hAnsi="Calibri"/>
          <w:b w:val="0"/>
          <w:i w:val="0"/>
          <w:color w:val="1D2939"/>
          <w:sz w:val="22"/>
        </w:rPr>
        <w:t>Indicada quando as três partes atuam continuamente e preferem reduzir o investimento inicial. Sugere-se um piloto contratual de 6 a 12 meses, sem sociedade imediata.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600"/>
        <w:gridCol w:w="2200"/>
        <w:gridCol w:w="4560"/>
      </w:tblGrid>
      <w:tr>
        <w:trPr>
          <w:tblHeader w:val="true"/>
          <w:cantSplit w:val="true"/>
        </w:trPr>
        <w:tc>
          <w:tcPr>
            <w:tcW w:type="dxa" w:w="26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Participante</w:t>
            </w:r>
          </w:p>
        </w:tc>
        <w:tc>
          <w:tcPr>
            <w:tcW w:type="dxa" w:w="22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Participação sugerida</w:t>
            </w:r>
          </w:p>
        </w:tc>
        <w:tc>
          <w:tcPr>
            <w:tcW w:type="dxa" w:w="456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Contrapartida contínua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Tecnologia</w:t>
            </w:r>
          </w:p>
        </w:tc>
        <w:tc>
          <w:tcPr>
            <w:tcW w:type="dxa" w:w="22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45% da receita líquida</w:t>
            </w:r>
          </w:p>
        </w:tc>
        <w:tc>
          <w:tcPr>
            <w:tcW w:type="dxa" w:w="45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Sistema, hospedagem, manutenção e evolução pactuada.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Marca e operação</w:t>
            </w:r>
          </w:p>
        </w:tc>
        <w:tc>
          <w:tcPr>
            <w:tcW w:type="dxa" w:w="22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45% da receita líquida</w:t>
            </w:r>
          </w:p>
        </w:tc>
        <w:tc>
          <w:tcPr>
            <w:tcW w:type="dxa" w:w="45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Conteúdo, atendimento, marketing e vendas.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Relacionamento comercial</w:t>
            </w:r>
          </w:p>
        </w:tc>
        <w:tc>
          <w:tcPr>
            <w:tcW w:type="dxa" w:w="22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10% da receita líquida</w:t>
            </w:r>
          </w:p>
        </w:tc>
        <w:tc>
          <w:tcPr>
            <w:tcW w:type="dxa" w:w="45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Negociação, parcerias e acompanhamento efetivo.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1D2939"/>
          <w:sz w:val="22"/>
        </w:rPr>
        <w:t>Implantação reduzida sugerida: R$ 15.000,00 a R$ 25.000,00. A divisão ocorre após os custos expressamente autorizados no contrato.</w:t>
      </w:r>
    </w:p>
    <w:p>
      <w:pPr>
        <w:pStyle w:val="Heading2"/>
        <w:keepNext/>
      </w:pPr>
      <w:r>
        <w:t>4.2 Proposta C - Cessão integral da tecnologia</w:t>
      </w:r>
    </w:p>
    <w:p>
      <w:r>
        <w:rPr>
          <w:rFonts w:ascii="Calibri" w:hAnsi="Calibri"/>
          <w:b w:val="0"/>
          <w:i w:val="0"/>
          <w:color w:val="1D2939"/>
          <w:sz w:val="22"/>
        </w:rPr>
        <w:t>Indicada quando a compradora deseja adquirir o código-fonte e assumir a exploração do software. Como transfere o potencial econômico futuro, exige preço significativamente maior.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56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Condição de referência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Valor de negociação</w:t>
            </w:r>
          </w:p>
        </w:tc>
        <w:tc>
          <w:tcPr>
            <w:tcW w:type="dxa" w:w="65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R$ 250.000,00 a R$ 350.000,00.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Escopo</w:t>
            </w:r>
          </w:p>
        </w:tc>
        <w:tc>
          <w:tcPr>
            <w:tcW w:type="dxa" w:w="65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Inclui código-fonte e comercialização; não inclui automaticamente marca anterior, conteúdo de terceiros ou evolução permanente.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Transição técnica</w:t>
            </w:r>
          </w:p>
        </w:tc>
        <w:tc>
          <w:tcPr>
            <w:tcW w:type="dxa" w:w="65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60 a 90 dias; escopo e horas previamente definidos.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Suporte posterior</w:t>
            </w:r>
          </w:p>
        </w:tc>
        <w:tc>
          <w:tcPr>
            <w:tcW w:type="dxa" w:w="65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Contrato separado, estimado entre R$ 4.000,00 e R$ 8.000,00 por mês.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7E6"/>
            <w:tcBorders>
              <w:top w:val="single" w:sz="10" w:space="0" w:color="A86600"/>
              <w:bottom w:val="single" w:sz="4" w:space="0" w:color="D9DEE7"/>
              <w:left w:val="single" w:sz="10" w:space="0" w:color="A86600"/>
              <w:right w:val="single" w:sz="4" w:space="0" w:color="D9DEE7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A86600"/>
                <w:sz w:val="17"/>
              </w:rPr>
              <w:t>ATENÇÃO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2B4D"/>
                <w:sz w:val="26"/>
              </w:rPr>
              <w:t>Vender o código e depender apenas de comissão aumenta o risco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D2939"/>
                <w:sz w:val="21"/>
              </w:rPr>
              <w:t>Após a cessão, o controle da operação e dos registros passa à compradora. Qualquer comissão futura exige auditoria, prazo e garantia mínima.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5. Estratégia comercial para professores e escolas</w:t>
      </w:r>
    </w:p>
    <w:p>
      <w:pPr>
        <w:pStyle w:val="Heading2"/>
        <w:keepNext/>
      </w:pPr>
      <w:r>
        <w:t>5.1 Preços de lançamento sugeridos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2700"/>
        <w:gridCol w:w="2100"/>
        <w:gridCol w:w="4560"/>
      </w:tblGrid>
      <w:tr>
        <w:trPr>
          <w:tblHeader w:val="true"/>
          <w:cantSplit w:val="true"/>
        </w:trPr>
        <w:tc>
          <w:tcPr>
            <w:tcW w:type="dxa" w:w="27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Plano</w:t>
            </w:r>
          </w:p>
        </w:tc>
        <w:tc>
          <w:tcPr>
            <w:tcW w:type="dxa" w:w="21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Preço sugerido</w:t>
            </w:r>
          </w:p>
        </w:tc>
        <w:tc>
          <w:tcPr>
            <w:tcW w:type="dxa" w:w="456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Público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Professor mensal</w:t>
            </w:r>
          </w:p>
        </w:tc>
        <w:tc>
          <w:tcPr>
            <w:tcW w:type="dxa" w:w="21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R$ 29,90/mês</w:t>
            </w:r>
          </w:p>
        </w:tc>
        <w:tc>
          <w:tcPr>
            <w:tcW w:type="dxa" w:w="45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Uso individual; cancelamento conforme termos.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Professor anual</w:t>
            </w:r>
          </w:p>
        </w:tc>
        <w:tc>
          <w:tcPr>
            <w:tcW w:type="dxa" w:w="21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R$ 299,00/ano</w:t>
            </w:r>
          </w:p>
        </w:tc>
        <w:tc>
          <w:tcPr>
            <w:tcW w:type="dxa" w:w="45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Economia em relação ao pagamento mensal.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Institucional</w:t>
            </w:r>
          </w:p>
        </w:tc>
        <w:tc>
          <w:tcPr>
            <w:tcW w:type="dxa" w:w="21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A partir de R$ 24,90/professor/mês</w:t>
            </w:r>
          </w:p>
        </w:tc>
        <w:tc>
          <w:tcPr>
            <w:tcW w:type="dxa" w:w="45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8"/>
              </w:rPr>
              <w:t>Escolas, com quantidade mínima a definir.</w:t>
            </w:r>
          </w:p>
        </w:tc>
      </w:tr>
    </w:tbl>
    <w:p>
      <w:pPr>
        <w:spacing w:before="80" w:after="80"/>
      </w:pPr>
    </w:p>
    <w:p>
      <w:pPr>
        <w:pStyle w:val="Heading2"/>
        <w:keepNext/>
      </w:pPr>
      <w:r>
        <w:t>5.2 Simulação de receita do modelo white-label</w:t>
      </w:r>
    </w:p>
    <w:p>
      <w:r>
        <w:rPr>
          <w:rFonts w:ascii="Calibri" w:hAnsi="Calibri"/>
          <w:b w:val="0"/>
          <w:i w:val="0"/>
          <w:color w:val="1D2939"/>
          <w:sz w:val="22"/>
        </w:rPr>
        <w:t>Simulação ilustrativa com mensalidade de R$ 29,90 e receita líquida estimada em 85% do faturamento bruto, após impostos, taxas, estornos e reembolsos. Os percentuais reais dependerão do enquadramento tributário e dos contratos.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30"/>
      </w:tblPr>
      <w:tblGrid>
        <w:gridCol w:w="1300"/>
        <w:gridCol w:w="1800"/>
        <w:gridCol w:w="2100"/>
        <w:gridCol w:w="1900"/>
        <w:gridCol w:w="2260"/>
      </w:tblGrid>
      <w:tr>
        <w:trPr>
          <w:tblHeader w:val="true"/>
          <w:cantSplit w:val="true"/>
        </w:trPr>
        <w:tc>
          <w:tcPr>
            <w:tcW w:type="dxa" w:w="13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Assinantes</w:t>
            </w:r>
          </w:p>
        </w:tc>
        <w:tc>
          <w:tcPr>
            <w:tcW w:type="dxa" w:w="18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Faturamento bruto</w:t>
            </w:r>
          </w:p>
        </w:tc>
        <w:tc>
          <w:tcPr>
            <w:tcW w:type="dxa" w:w="21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Receita líquida estimada</w:t>
            </w:r>
          </w:p>
        </w:tc>
        <w:tc>
          <w:tcPr>
            <w:tcW w:type="dxa" w:w="190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Plataforma (20%)</w:t>
            </w:r>
          </w:p>
        </w:tc>
        <w:tc>
          <w:tcPr>
            <w:tcW w:type="dxa" w:w="2260"/>
            <w:vAlign w:val="center"/>
            <w:shd w:fill="172B4D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Operação antes de outros custos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100</w:t>
            </w:r>
          </w:p>
        </w:tc>
        <w:tc>
          <w:tcPr>
            <w:tcW w:type="dxa" w:w="18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R$ 2.990</w:t>
            </w:r>
          </w:p>
        </w:tc>
        <w:tc>
          <w:tcPr>
            <w:tcW w:type="dxa" w:w="21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R$ 2.542</w:t>
            </w:r>
          </w:p>
        </w:tc>
        <w:tc>
          <w:tcPr>
            <w:tcW w:type="dxa" w:w="19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R$ 508*</w:t>
            </w:r>
          </w:p>
        </w:tc>
        <w:tc>
          <w:tcPr>
            <w:tcW w:type="dxa" w:w="22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R$ 2.034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500</w:t>
            </w:r>
          </w:p>
        </w:tc>
        <w:tc>
          <w:tcPr>
            <w:tcW w:type="dxa" w:w="18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R$ 14.950</w:t>
            </w:r>
          </w:p>
        </w:tc>
        <w:tc>
          <w:tcPr>
            <w:tcW w:type="dxa" w:w="21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R$ 12.708</w:t>
            </w:r>
          </w:p>
        </w:tc>
        <w:tc>
          <w:tcPr>
            <w:tcW w:type="dxa" w:w="190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R$ 2.542</w:t>
            </w:r>
          </w:p>
        </w:tc>
        <w:tc>
          <w:tcPr>
            <w:tcW w:type="dxa" w:w="2260"/>
            <w:vAlign w:val="center"/>
            <w:shd w:fill="FAFBFC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R$ 10.166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1.000</w:t>
            </w:r>
          </w:p>
        </w:tc>
        <w:tc>
          <w:tcPr>
            <w:tcW w:type="dxa" w:w="18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R$ 29.900</w:t>
            </w:r>
          </w:p>
        </w:tc>
        <w:tc>
          <w:tcPr>
            <w:tcW w:type="dxa" w:w="21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R$ 25.415</w:t>
            </w:r>
          </w:p>
        </w:tc>
        <w:tc>
          <w:tcPr>
            <w:tcW w:type="dxa" w:w="190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R$ 5.083</w:t>
            </w:r>
          </w:p>
        </w:tc>
        <w:tc>
          <w:tcPr>
            <w:tcW w:type="dxa" w:w="2260"/>
            <w:vAlign w:val="center"/>
            <w:tcMar>
              <w:top w:w="105" w:type="dxa"/>
              <w:bottom w:w="105" w:type="dxa"/>
              <w:start w:w="130" w:type="dxa"/>
              <w:end w:w="13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R$ 20.332</w:t>
            </w:r>
          </w:p>
        </w:tc>
      </w:tr>
    </w:tbl>
    <w:p>
      <w:pPr>
        <w:spacing w:before="80" w:after="80"/>
      </w:pPr>
    </w:p>
    <w:p>
      <w:pPr>
        <w:spacing w:before="80" w:after="160"/>
      </w:pPr>
      <w:r>
        <w:rPr>
          <w:rFonts w:ascii="Calibri" w:hAnsi="Calibri"/>
          <w:b w:val="0"/>
          <w:i/>
          <w:color w:val="667085"/>
          <w:sz w:val="17"/>
        </w:rPr>
        <w:t>* A partir do 7º mês, prevaleceria a garantia mínima mensal de R$ 1.500,00 quando o royalty calculado fosse inferior.</w:t>
      </w:r>
    </w:p>
    <w:p>
      <w:pPr>
        <w:pStyle w:val="Heading2"/>
        <w:keepNext/>
      </w:pPr>
      <w:r>
        <w:t>5.3 Comissão do intermediário</w:t>
      </w:r>
    </w:p>
    <w:p>
      <w:r>
        <w:rPr>
          <w:rFonts w:ascii="Calibri" w:hAnsi="Calibri"/>
          <w:b w:val="0"/>
          <w:i w:val="0"/>
          <w:color w:val="1D2939"/>
          <w:sz w:val="22"/>
        </w:rPr>
        <w:t>Duas alternativas evitam sobreposição de direitos: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Atuação pontual:</w:t>
      </w:r>
      <w:r>
        <w:rPr>
          <w:rFonts w:ascii="Calibri" w:hAnsi="Calibri"/>
          <w:b w:val="0"/>
          <w:i w:val="0"/>
          <w:color w:val="1D2939"/>
          <w:sz w:val="22"/>
        </w:rPr>
        <w:t xml:space="preserve"> comissão de 5% a 10% sobre o valor da implantação pela aproximação e fechamento inicial.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Atuação contínua:</w:t>
      </w:r>
      <w:r>
        <w:rPr>
          <w:rFonts w:ascii="Calibri" w:hAnsi="Calibri"/>
          <w:b w:val="0"/>
          <w:i w:val="0"/>
          <w:color w:val="1D2939"/>
          <w:sz w:val="22"/>
        </w:rPr>
        <w:t xml:space="preserve"> 5% a 10% da receita líquida dos clientes efetivamente atribuídos ao intermediário, por prazo de 12 a 24 meses.</w:t>
      </w:r>
    </w:p>
    <w:p>
      <w:r>
        <w:rPr>
          <w:rFonts w:ascii="Calibri" w:hAnsi="Calibri"/>
          <w:b w:val="0"/>
          <w:i w:val="0"/>
          <w:color w:val="1D2939"/>
          <w:sz w:val="22"/>
        </w:rPr>
        <w:t>A comissão comercial não gera automaticamente propriedade sobre o código, a marca ou a empresa.</w:t>
      </w:r>
    </w:p>
    <w:p>
      <w:pPr>
        <w:pStyle w:val="Heading1"/>
        <w:keepNext/>
        <w:pageBreakBefore/>
      </w:pPr>
      <w:r>
        <w:t>6. Proteções e condições essenciais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Titularidade:</w:t>
      </w:r>
      <w:r>
        <w:rPr>
          <w:rFonts w:ascii="Calibri" w:hAnsi="Calibri"/>
          <w:b w:val="0"/>
          <w:i w:val="0"/>
          <w:color w:val="1D2939"/>
          <w:sz w:val="22"/>
        </w:rPr>
        <w:t xml:space="preserve"> confirmar por escrito quem possui os direitos patrimoniais do software antes da assinatura com a operadora.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Conteúdo:</w:t>
      </w:r>
      <w:r>
        <w:rPr>
          <w:rFonts w:ascii="Calibri" w:hAnsi="Calibri"/>
          <w:b w:val="0"/>
          <w:i w:val="0"/>
          <w:color w:val="1D2939"/>
          <w:sz w:val="22"/>
        </w:rPr>
        <w:t xml:space="preserve"> somente publicar materiais próprios, licenciados ou autorizados; registrar a responsabilidade pela revisão pedagógica e direitos autorais.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Marca e domínio:</w:t>
      </w:r>
      <w:r>
        <w:rPr>
          <w:rFonts w:ascii="Calibri" w:hAnsi="Calibri"/>
          <w:b w:val="0"/>
          <w:i w:val="0"/>
          <w:color w:val="1D2939"/>
          <w:sz w:val="22"/>
        </w:rPr>
        <w:t xml:space="preserve"> definir titular, pagamento, renovação, transferência e uso após o encerramento da parceria.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Receita líquida:</w:t>
      </w:r>
      <w:r>
        <w:rPr>
          <w:rFonts w:ascii="Calibri" w:hAnsi="Calibri"/>
          <w:b w:val="0"/>
          <w:i w:val="0"/>
          <w:color w:val="1D2939"/>
          <w:sz w:val="22"/>
        </w:rPr>
        <w:t xml:space="preserve"> definir exatamente as deduções permitidas, incluindo impostos, gateway, estornos e reembolsos.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Relatórios e auditoria:</w:t>
      </w:r>
      <w:r>
        <w:rPr>
          <w:rFonts w:ascii="Calibri" w:hAnsi="Calibri"/>
          <w:b w:val="0"/>
          <w:i w:val="0"/>
          <w:color w:val="1D2939"/>
          <w:sz w:val="22"/>
        </w:rPr>
        <w:t xml:space="preserve"> estabelecer periodicidade, acesso às informações e prazo de pagamento.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LGPD:</w:t>
      </w:r>
      <w:r>
        <w:rPr>
          <w:rFonts w:ascii="Calibri" w:hAnsi="Calibri"/>
          <w:b w:val="0"/>
          <w:i w:val="0"/>
          <w:color w:val="1D2939"/>
          <w:sz w:val="22"/>
        </w:rPr>
        <w:t xml:space="preserve"> definir controlador e operador, limitar dados coletados e estabelecer resposta a incidentes.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Continuidade:</w:t>
      </w:r>
      <w:r>
        <w:rPr>
          <w:rFonts w:ascii="Calibri" w:hAnsi="Calibri"/>
          <w:b w:val="0"/>
          <w:i w:val="0"/>
          <w:color w:val="1D2939"/>
          <w:sz w:val="22"/>
        </w:rPr>
        <w:t xml:space="preserve"> prever backups, disponibilidade, encerramento, exportação de dados e transição.</w:t>
      </w:r>
    </w:p>
    <w:p>
      <w:pPr>
        <w:pStyle w:val="ListBullet"/>
      </w:pPr>
      <w:r>
        <w:rPr>
          <w:rFonts w:ascii="Calibri" w:hAnsi="Calibri"/>
          <w:b/>
          <w:i w:val="0"/>
          <w:color w:val="1D2939"/>
          <w:sz w:val="22"/>
        </w:rPr>
        <w:t>Exclusividade:</w:t>
      </w:r>
      <w:r>
        <w:rPr>
          <w:rFonts w:ascii="Calibri" w:hAnsi="Calibri"/>
          <w:b w:val="0"/>
          <w:i w:val="0"/>
          <w:color w:val="1D2939"/>
          <w:sz w:val="22"/>
        </w:rPr>
        <w:t xml:space="preserve"> somente mediante território, prazo, metas mínimas e perda automática por descumprimento.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Borders>
              <w:top w:val="single" w:sz="10" w:space="0" w:color="2E74B5"/>
              <w:bottom w:val="single" w:sz="4" w:space="0" w:color="D9DEE7"/>
              <w:left w:val="single" w:sz="10" w:space="0" w:color="2E74B5"/>
              <w:right w:val="single" w:sz="4" w:space="0" w:color="D9DEE7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NOTA JURÍDICA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2B4D"/>
                <w:sz w:val="26"/>
              </w:rPr>
              <w:t>Esta proposta não substitui o contrato definitivo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D2939"/>
                <w:sz w:val="21"/>
              </w:rPr>
              <w:t>A Lei nº 9.609/1998 prevê regras específicas sobre titularidade de software desenvolvido em relações de trabalho ou prestação de serviços. A situação original entre o desenvolvedor e quem solicitou o projeto deve ser revisada por advogado antes de qualquer cessão, licença ou sociedade.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7. Próximos passos</w:t>
      </w:r>
    </w:p>
    <w:p>
      <w:pPr>
        <w:pStyle w:val="ListNumber"/>
      </w:pPr>
      <w:r>
        <w:rPr>
          <w:rFonts w:ascii="Calibri" w:hAnsi="Calibri"/>
          <w:b w:val="0"/>
          <w:i w:val="0"/>
          <w:color w:val="1D2939"/>
          <w:sz w:val="22"/>
        </w:rPr>
        <w:t>Validar titularidade do software, pagamentos anteriores e compromissos já assumidos.</w:t>
      </w:r>
    </w:p>
    <w:p>
      <w:pPr>
        <w:pStyle w:val="ListNumber"/>
      </w:pPr>
      <w:r>
        <w:rPr>
          <w:rFonts w:ascii="Calibri" w:hAnsi="Calibri"/>
          <w:b w:val="0"/>
          <w:i w:val="0"/>
          <w:color w:val="1D2939"/>
          <w:sz w:val="22"/>
        </w:rPr>
        <w:t>Escolher a Proposta A, B ou C e registrar os pontos negociados em uma carta de intenções.</w:t>
      </w:r>
    </w:p>
    <w:p>
      <w:pPr>
        <w:pStyle w:val="ListNumber"/>
      </w:pPr>
      <w:r>
        <w:rPr>
          <w:rFonts w:ascii="Calibri" w:hAnsi="Calibri"/>
          <w:b w:val="0"/>
          <w:i w:val="0"/>
          <w:color w:val="1D2939"/>
          <w:sz w:val="22"/>
        </w:rPr>
        <w:t>Definir nome da marca, domínio, empresa contratante e responsáveis pelo conteúdo.</w:t>
      </w:r>
    </w:p>
    <w:p>
      <w:pPr>
        <w:pStyle w:val="ListNumber"/>
      </w:pPr>
      <w:r>
        <w:rPr>
          <w:rFonts w:ascii="Calibri" w:hAnsi="Calibri"/>
          <w:b w:val="0"/>
          <w:i w:val="0"/>
          <w:color w:val="1D2939"/>
          <w:sz w:val="22"/>
        </w:rPr>
        <w:t>Realizar levantamento de personalizações e preparar cronograma de implantação.</w:t>
      </w:r>
    </w:p>
    <w:p>
      <w:pPr>
        <w:pStyle w:val="ListNumber"/>
      </w:pPr>
      <w:r>
        <w:rPr>
          <w:rFonts w:ascii="Calibri" w:hAnsi="Calibri"/>
          <w:b w:val="0"/>
          <w:i w:val="0"/>
          <w:color w:val="1D2939"/>
          <w:sz w:val="22"/>
        </w:rPr>
        <w:t>Assinar contrato definitivo e iniciar configuração do ambiente white-label.</w:t>
      </w:r>
    </w:p>
    <w:p>
      <w:pPr>
        <w:pStyle w:val="Heading2"/>
        <w:keepNext/>
      </w:pPr>
      <w:r>
        <w:t>7.1 Validade e natureza desta proposta</w:t>
      </w:r>
    </w:p>
    <w:p>
      <w:r>
        <w:rPr>
          <w:rFonts w:ascii="Calibri" w:hAnsi="Calibri"/>
          <w:b w:val="0"/>
          <w:i w:val="0"/>
          <w:color w:val="1D2939"/>
          <w:sz w:val="22"/>
        </w:rPr>
        <w:t>Valores válidos por 15 dias a partir da data deste documento. Esta minuta é indicativa, não vinculante e depende de aprovação das partes, validação contábil e elaboração do contrato definitivo.</w:t>
      </w:r>
    </w:p>
    <w:p>
      <w:pPr>
        <w:pStyle w:val="Heading1"/>
        <w:keepNext/>
        <w:pageBreakBefore/>
      </w:pPr>
      <w:r>
        <w:t>8. Aceite para avanço da negociação</w:t>
      </w:r>
    </w:p>
    <w:p>
      <w:r>
        <w:rPr>
          <w:rFonts w:ascii="Calibri" w:hAnsi="Calibri"/>
          <w:b w:val="0"/>
          <w:i w:val="0"/>
          <w:color w:val="1D2939"/>
          <w:sz w:val="22"/>
        </w:rPr>
        <w:t>O aceite abaixo confirma apenas a escolha do modelo para elaboração do contrato definitivo; não transfere propriedade intelectual nem autoriza o início da exploração comercial.</w:t>
      </w:r>
    </w:p>
    <w:p>
      <w:pPr>
        <w:pStyle w:val="Heading2"/>
        <w:keepNext/>
      </w:pPr>
      <w:r>
        <w:t>Modelo escolhido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Proposta A - Licenciamento white-label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Proposta B - Parceria operacional sem sociedade imediata</w:t>
      </w:r>
    </w:p>
    <w:p>
      <w:pPr>
        <w:pStyle w:val="ListBullet"/>
      </w:pPr>
      <w:r>
        <w:rPr>
          <w:rFonts w:ascii="Calibri" w:hAnsi="Calibri"/>
          <w:b w:val="0"/>
          <w:i w:val="0"/>
          <w:color w:val="1D2939"/>
          <w:sz w:val="22"/>
        </w:rPr>
        <w:t>Proposta C - Cessão integral da tecnologia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4550"/>
        <w:gridCol w:w="4810"/>
      </w:tblGrid>
      <w:tr>
        <w:trPr/>
        <w:tc>
          <w:tcPr>
            <w:tcW w:type="dxa" w:w="4550"/>
            <w:vAlign w:val="center"/>
            <w:tcBorders>
              <w:top w:val="single" w:sz="8" w:color="172B4D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[SEU NOME / EMPRESA]</w:t>
            </w:r>
          </w:p>
        </w:tc>
        <w:tc>
          <w:tcPr>
            <w:tcW w:type="dxa" w:w="4810"/>
            <w:vAlign w:val="center"/>
            <w:tcBorders>
              <w:top w:val="single" w:sz="8" w:color="172B4D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[NOME DA DIRETORA / EMPRESA]</w:t>
            </w:r>
          </w:p>
        </w:tc>
      </w:tr>
      <w:tr>
        <w:trPr/>
        <w:tc>
          <w:tcPr>
            <w:tcW w:type="dxa" w:w="455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Fornecedor tecnológico</w:t>
            </w:r>
          </w:p>
        </w:tc>
        <w:tc>
          <w:tcPr>
            <w:tcW w:type="dxa" w:w="481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Operadora da marca</w:t>
            </w:r>
          </w:p>
        </w:tc>
      </w:tr>
      <w:tr>
        <w:trPr/>
        <w:tc>
          <w:tcPr>
            <w:tcW w:type="dxa" w:w="455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Data: ____/____/________</w:t>
            </w:r>
          </w:p>
        </w:tc>
        <w:tc>
          <w:tcPr>
            <w:tcW w:type="dxa" w:w="481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Data: ____/____/________</w:t>
            </w:r>
          </w:p>
        </w:tc>
      </w:tr>
    </w:tbl>
    <w:p>
      <w:pPr>
        <w:spacing w:after="2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vAlign w:val="center"/>
            <w:tcBorders>
              <w:top w:val="single" w:sz="8" w:color="172B4D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72B4D"/>
                <w:sz w:val="20"/>
              </w:rPr>
              <w:t>[NOME DO INTERMEDIÁRIO]</w:t>
            </w:r>
          </w:p>
        </w:tc>
      </w:tr>
      <w:tr>
        <w:trPr/>
        <w:tc>
          <w:tcPr>
            <w:tcW w:type="dxa" w:w="936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Responsável pelo relacionamento comercial</w:t>
            </w:r>
          </w:p>
        </w:tc>
      </w:tr>
      <w:tr>
        <w:trPr/>
        <w:tc>
          <w:tcPr>
            <w:tcW w:type="dxa" w:w="9360"/>
            <w:vAlign w:val="center"/>
            <w:tcBorders>
              <w:top w:val="nil"/>
              <w:bottom w:val="nil"/>
              <w:left w:val="nil"/>
              <w:right w:val="nil"/>
            </w:tcBorders>
            <w:tcMar>
              <w:top w:w="170" w:type="dxa"/>
              <w:bottom w:w="90" w:type="dxa"/>
              <w:start w:w="180" w:type="dxa"/>
              <w:end w:w="1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Data: ____/____/________</w:t>
            </w:r>
          </w:p>
        </w:tc>
      </w:tr>
    </w:tbl>
    <w:p>
      <w:pPr>
        <w:pStyle w:val="Heading2"/>
        <w:keepNext/>
      </w:pPr>
      <w:r>
        <w:t>Referências legais para elaboração contratual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color w:val="667085"/>
          <w:sz w:val="17"/>
        </w:rPr>
        <w:t xml:space="preserve">Lei nº 9.609/1998 - Proteção da propriedade intelectual de programas de computador: </w:t>
      </w:r>
      <w:r>
        <w:rPr>
          <w:rFonts w:ascii="Calibri" w:hAnsi="Calibri"/>
          <w:b w:val="0"/>
          <w:i w:val="0"/>
          <w:color w:val="2E74B5"/>
          <w:sz w:val="17"/>
        </w:rPr>
        <w:t>https://www.planalto.gov.br/ccivil_03/leis/l9609.htm</w:t>
      </w:r>
    </w:p>
    <w:p>
      <w:pPr>
        <w:spacing w:after="0"/>
        <w:jc w:val="left"/>
      </w:pPr>
      <w:r>
        <w:rPr>
          <w:rFonts w:ascii="Calibri" w:hAnsi="Calibri"/>
          <w:b w:val="0"/>
          <w:i w:val="0"/>
          <w:color w:val="667085"/>
          <w:sz w:val="17"/>
        </w:rPr>
        <w:t xml:space="preserve">INPI - Transferência de titularidade de registro de programa de computador: </w:t>
      </w:r>
      <w:r>
        <w:rPr>
          <w:rFonts w:ascii="Calibri" w:hAnsi="Calibri"/>
          <w:b w:val="0"/>
          <w:i w:val="0"/>
          <w:color w:val="2E74B5"/>
          <w:sz w:val="17"/>
        </w:rPr>
        <w:t>https://www.gov.br/pt-br/servicos/solicitar-a-transferencia-de-titularidade-de-registro-de-programa-de-computador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6500"/>
      <w:gridCol w:w="2860"/>
    </w:tblGrid>
    <w:tr>
      <w:trPr/>
      <w:tc>
        <w:tcPr>
          <w:tcW w:type="dxa" w:w="6500"/>
          <w:vAlign w:val="center"/>
          <w:tcMar>
            <w:top w:w="80" w:type="dxa"/>
            <w:bottom w:w="80" w:type="dxa"/>
            <w:start w:w="120" w:type="dxa"/>
            <w:end w:w="120" w:type="dxa"/>
          </w:tcMar>
          <w:tcBorders>
            <w:top w:val="single" w:sz="6" w:space="0" w:color="D9DEE7"/>
            <w:bottom w:val="nil"/>
            <w:left w:val="nil"/>
            <w:right w:val="nil"/>
          </w:tcBorders>
        </w:tcPr>
        <w:p>
          <w:pPr>
            <w:spacing w:before="0" w:after="0" w:line="259" w:lineRule="auto"/>
            <w:jc w:val="left"/>
          </w:pPr>
          <w:r/>
          <w:r>
            <w:rPr>
              <w:rFonts w:ascii="Calibri" w:hAnsi="Calibri"/>
              <w:b w:val="0"/>
              <w:i w:val="0"/>
              <w:color w:val="667085"/>
              <w:sz w:val="17"/>
            </w:rPr>
            <w:t>Documento confidencial - minuta para negociação</w:t>
          </w:r>
        </w:p>
      </w:tc>
      <w:tc>
        <w:tcPr>
          <w:tcW w:type="dxa" w:w="2860"/>
          <w:tcMar>
            <w:top w:w="80" w:type="dxa"/>
            <w:bottom w:w="80" w:type="dxa"/>
            <w:start w:w="120" w:type="dxa"/>
            <w:end w:w="120" w:type="dxa"/>
          </w:tcMar>
          <w:tcBorders>
            <w:top w:val="single" w:sz="6" w:space="0" w:color="D9DEE7"/>
            <w:bottom w:val="nil"/>
            <w:left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 w:val="0"/>
              <w:color w:val="667085"/>
              <w:sz w:val="17"/>
            </w:rPr>
            <w:t xml:space="preserve">Página </w:t>
          </w:r>
          <w:r>
            <w:rPr>
              <w:rFonts w:ascii="Calibri" w:hAnsi="Calibri"/>
              <w:b w:val="0"/>
              <w:i w:val="0"/>
              <w:color w:val="667085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7"/>
      </w:rPr>
      <w:t>PLATAFORMA EDUCACIONAL  |  PROPOSTA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B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- Plataforma Educacional White-label</dc:title>
  <dc:subject>Modelos de licenciamento, parceria comercial e cessão integral</dc:subject>
  <dc:creator>[SEU NOME / EMPRESA]</dc:creator>
  <cp:keywords>white-label, plataforma educacional, professores, licenciamento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