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3"/>
        <w:gridCol w:w="30"/>
        <w:gridCol w:w="4385"/>
      </w:tblGrid>
      <w:tr w:rsidR="00D43D49" w:rsidRPr="00B61EC1" w:rsidTr="00D37FDA">
        <w:trPr>
          <w:trHeight w:val="111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B61EC1">
              <w:rPr>
                <w:rFonts w:eastAsia="Times New Roman" w:cstheme="min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7F21F08" wp14:editId="7E9D6D6A">
                  <wp:extent cx="1930326" cy="611505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824" cy="61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BANCO DE QUESTÕES — Fundamental Anos Iniciais</w:t>
            </w:r>
          </w:p>
        </w:tc>
      </w:tr>
      <w:tr w:rsidR="00D43D49" w:rsidRPr="00B61EC1" w:rsidTr="00D37FDA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b/>
                <w:color w:val="1F1F1F"/>
                <w:sz w:val="20"/>
                <w:szCs w:val="20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HIS4-1T-004</w:t>
            </w:r>
          </w:p>
        </w:tc>
      </w:tr>
      <w:tr w:rsidR="00D43D49" w:rsidRPr="00B61EC1" w:rsidTr="00D37FD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Componente Curricular:</w:t>
            </w:r>
            <w:r w:rsidRPr="00B61EC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História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Ano/Série:</w:t>
            </w:r>
            <w:r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4º Ano]</w:t>
            </w:r>
          </w:p>
        </w:tc>
      </w:tr>
      <w:tr w:rsidR="00D43D49" w:rsidRPr="00B61EC1" w:rsidTr="00D37FD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D43D49" w:rsidP="00D37FDA">
            <w:pPr>
              <w:spacing w:line="240" w:lineRule="auto"/>
              <w:ind w:firstLine="0"/>
              <w:jc w:val="left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Unidade Temática:</w:t>
            </w:r>
            <w:r w:rsidRPr="00B61EC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Transformações e permanências nas trajetórias dos grupos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Trimestre:</w:t>
            </w:r>
            <w:r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1º Trimestre</w:t>
            </w:r>
          </w:p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Livro 1- SAE /Unidade: 1</w:t>
            </w:r>
          </w:p>
        </w:tc>
      </w:tr>
      <w:tr w:rsidR="00D43D49" w:rsidRPr="00B61EC1" w:rsidTr="00D37FD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EB6" w:rsidRPr="00B61EC1" w:rsidRDefault="007C0194" w:rsidP="00AD6EB6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</w:pPr>
            <w:r w:rsidRPr="00B61EC1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Objeto de Conhecimento (Conteúdo):</w:t>
            </w:r>
          </w:p>
          <w:p w:rsidR="00AD6EB6" w:rsidRPr="00B61EC1" w:rsidRDefault="007C0194" w:rsidP="00AD6EB6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1F1F1F"/>
              </w:rPr>
            </w:pPr>
            <w:r w:rsidRPr="00B61EC1">
              <w:rPr>
                <w:rFonts w:asciiTheme="minorHAnsi" w:hAnsiTheme="minorHAnsi" w:cstheme="minorHAnsi"/>
                <w:color w:val="1F1F1F"/>
              </w:rPr>
              <w:t>* O passado e o presente: a noção de fonte histórica.</w:t>
            </w:r>
          </w:p>
          <w:p w:rsidR="007C0194" w:rsidRPr="00B61EC1" w:rsidRDefault="007C0194" w:rsidP="00AD6EB6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1F1F1F"/>
              </w:rPr>
            </w:pPr>
            <w:r w:rsidRPr="00B61EC1">
              <w:rPr>
                <w:rFonts w:asciiTheme="minorHAnsi" w:hAnsiTheme="minorHAnsi" w:cstheme="minorHAnsi"/>
                <w:color w:val="1F1F1F"/>
              </w:rPr>
              <w:t>* Tipos de fontes históricas: orais, escritas, materiais e visuais/iconográficas.</w:t>
            </w:r>
          </w:p>
          <w:p w:rsidR="007C0194" w:rsidRPr="00B61EC1" w:rsidRDefault="007C0194" w:rsidP="00AD6EB6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B61EC1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* Leitura de imagem e associação de linguagens (verbal e não verbal)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Habilidade BNCC:</w:t>
            </w: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</w:p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(EF04HI01)</w:t>
            </w:r>
            <w:r w:rsidRPr="00B61EC1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-Reconhecer a história como resultado da ação do ser humano no tempo e no espaço, com base na identificação de mudanças e permanências ao longo do tempo.</w:t>
            </w:r>
          </w:p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</w:p>
        </w:tc>
      </w:tr>
      <w:tr w:rsidR="00D43D49" w:rsidRPr="00B61EC1" w:rsidTr="00D37F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61EC1" w:rsidRDefault="00D43D49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Nível de Complexidade:</w:t>
            </w:r>
            <w:r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</w:p>
          <w:p w:rsidR="00D43D49" w:rsidRPr="00B61EC1" w:rsidRDefault="00D43D49" w:rsidP="00AD6EB6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[</w:t>
            </w:r>
            <w:r w:rsidR="00AD6EB6" w:rsidRPr="00B61EC1">
              <w:rPr>
                <w:rFonts w:eastAsia="Times New Roman" w:cstheme="minorHAnsi"/>
                <w:b/>
                <w:color w:val="FF0000"/>
                <w:sz w:val="20"/>
                <w:szCs w:val="20"/>
                <w:bdr w:val="none" w:sz="0" w:space="0" w:color="auto" w:frame="1"/>
                <w:lang w:eastAsia="pt-BR"/>
              </w:rPr>
              <w:t xml:space="preserve"> X</w:t>
            </w:r>
            <w:r w:rsidR="00AD6EB6"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r w:rsidRPr="00B61EC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] Fácil      [ ] Médio      [  ] Difícil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61EC1" w:rsidRDefault="00C93E6B" w:rsidP="00D37FDA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B61EC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Nota pedagógica de articulação:</w:t>
            </w:r>
            <w:r w:rsidRPr="00B61EC1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 xml:space="preserve"> Esta questão avalia diretamente a capacidade de classificação sistemática de vestígios históricos a partir de estímulos visuais concretos, preparando o aluno para analisar documentos mais complexos ao longo do ano.</w:t>
            </w:r>
          </w:p>
        </w:tc>
      </w:tr>
      <w:tr w:rsidR="00D43D49" w:rsidRPr="00B61EC1" w:rsidTr="00AD6EB6">
        <w:trPr>
          <w:trHeight w:val="94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3E6B" w:rsidRPr="00B61EC1" w:rsidRDefault="00C93E6B" w:rsidP="00C93E6B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B61EC1">
              <w:rPr>
                <w:rFonts w:asciiTheme="minorHAnsi" w:hAnsiTheme="minorHAnsi" w:cstheme="minorHAnsi"/>
                <w:b/>
              </w:rPr>
              <w:t>Análise Cognitiva (A Taxonomia de Bloom na Prática)</w:t>
            </w:r>
          </w:p>
          <w:p w:rsidR="00812C63" w:rsidRPr="00812C63" w:rsidRDefault="00812C63" w:rsidP="00812C63">
            <w:pPr>
              <w:pStyle w:val="NormalWeb"/>
              <w:rPr>
                <w:rFonts w:asciiTheme="minorHAnsi" w:hAnsiTheme="minorHAnsi" w:cstheme="minorHAnsi"/>
              </w:rPr>
            </w:pPr>
            <w:r w:rsidRPr="00812C63">
              <w:rPr>
                <w:rFonts w:asciiTheme="minorHAnsi" w:hAnsiTheme="minorHAnsi" w:cstheme="minorHAnsi"/>
              </w:rPr>
              <w:t>Esta questão está situada no 2º nível da Taxonomia de Bloom: Entender (Compreender).</w:t>
            </w:r>
          </w:p>
          <w:p w:rsidR="00D43D49" w:rsidRPr="00812C63" w:rsidRDefault="00812C63" w:rsidP="00812C63">
            <w:pPr>
              <w:pStyle w:val="NormalWeb"/>
              <w:rPr>
                <w:rFonts w:asciiTheme="minorHAnsi" w:hAnsiTheme="minorHAnsi" w:cstheme="minorHAnsi"/>
              </w:rPr>
            </w:pPr>
            <w:r w:rsidRPr="00812C63">
              <w:rPr>
                <w:rFonts w:asciiTheme="minorHAnsi" w:hAnsiTheme="minorHAnsi" w:cstheme="minorHAnsi"/>
              </w:rPr>
              <w:t>Por que é Entender? Ao contrário da questão anterior, este item possui nível de complexidade fácil. Ele avalia se o estudante consegue discriminar e categorizar exemplos visuais e conceituais de vestígios do passado dentro da tipologia clássica das fontes históricas. O aluno lê a situação descrita em cada quadrinho e a associa por correspondência direta à definição teórica de cada fonte (oral, escrita, mate</w:t>
            </w:r>
            <w:r>
              <w:rPr>
                <w:rFonts w:asciiTheme="minorHAnsi" w:hAnsiTheme="minorHAnsi" w:cstheme="minorHAnsi"/>
              </w:rPr>
              <w:t>rial e visual).</w:t>
            </w:r>
          </w:p>
        </w:tc>
      </w:tr>
    </w:tbl>
    <w:p w:rsidR="00A07146" w:rsidRDefault="00A07146" w:rsidP="00AD6EB6">
      <w:pPr>
        <w:spacing w:line="240" w:lineRule="auto"/>
        <w:contextualSpacing/>
      </w:pPr>
    </w:p>
    <w:p w:rsidR="00C93E6B" w:rsidRDefault="00C93E6B" w:rsidP="00AD6EB6">
      <w:pPr>
        <w:spacing w:line="240" w:lineRule="auto"/>
        <w:contextualSpacing/>
      </w:pPr>
    </w:p>
    <w:p w:rsidR="00C93E6B" w:rsidRDefault="00C93E6B" w:rsidP="00AD6EB6">
      <w:pPr>
        <w:spacing w:line="240" w:lineRule="auto"/>
        <w:contextualSpacing/>
      </w:pPr>
    </w:p>
    <w:p w:rsidR="00C93E6B" w:rsidRDefault="00C93E6B" w:rsidP="00AD6EB6">
      <w:pPr>
        <w:spacing w:line="240" w:lineRule="auto"/>
        <w:contextualSpacing/>
      </w:pPr>
    </w:p>
    <w:p w:rsidR="00C93E6B" w:rsidRDefault="00C93E6B" w:rsidP="00AD6EB6">
      <w:pPr>
        <w:spacing w:line="240" w:lineRule="auto"/>
        <w:contextualSpacing/>
      </w:pPr>
    </w:p>
    <w:p w:rsidR="00C93E6B" w:rsidRDefault="00C93E6B" w:rsidP="00AD6EB6">
      <w:pPr>
        <w:spacing w:line="240" w:lineRule="auto"/>
        <w:contextualSpacing/>
      </w:pPr>
    </w:p>
    <w:p w:rsidR="00C93E6B" w:rsidRDefault="00EE057D" w:rsidP="00AD6EB6">
      <w:pPr>
        <w:spacing w:line="240" w:lineRule="auto"/>
        <w:contextualSpacing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-194944</wp:posOffset>
                </wp:positionV>
                <wp:extent cx="5600700" cy="5314950"/>
                <wp:effectExtent l="0" t="0" r="19050" b="1905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531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acomgrade"/>
                              <w:tblW w:w="8520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  <w:insideH w:val="single" w:sz="18" w:space="0" w:color="auto"/>
                                <w:insideV w:val="single" w:sz="18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899"/>
                              <w:gridCol w:w="2621"/>
                            </w:tblGrid>
                            <w:tr w:rsidR="00B61EC1" w:rsidRPr="00966786" w:rsidTr="005D694D">
                              <w:trPr>
                                <w:trHeight w:val="439"/>
                              </w:trPr>
                              <w:tc>
                                <w:tcPr>
                                  <w:tcW w:w="5899" w:type="dxa"/>
                                  <w:vAlign w:val="center"/>
                                </w:tcPr>
                                <w:p w:rsidR="00B61EC1" w:rsidRPr="00966786" w:rsidRDefault="00B61EC1" w:rsidP="00B61EC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sz w:val="6"/>
                                      <w:szCs w:val="6"/>
                                      <w:lang w:eastAsia="pt-BR"/>
                                    </w:rPr>
                                  </w:pPr>
                                </w:p>
                                <w:p w:rsidR="00B61EC1" w:rsidRPr="00966786" w:rsidRDefault="00B61EC1" w:rsidP="00B61EC1">
                                  <w:pPr>
                                    <w:spacing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  <w:t>Questão 0</w:t>
                                  </w:r>
                                </w:p>
                                <w:p w:rsidR="00B61EC1" w:rsidRPr="00966786" w:rsidRDefault="00B61EC1" w:rsidP="00B61EC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sz w:val="6"/>
                                      <w:szCs w:val="6"/>
                                      <w:lang w:eastAsia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1" w:type="dxa"/>
                                  <w:vAlign w:val="center"/>
                                </w:tcPr>
                                <w:p w:rsidR="00B61EC1" w:rsidRPr="00966786" w:rsidRDefault="00B61EC1" w:rsidP="00B61EC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  <w:t xml:space="preserve">Valor: </w:t>
                                  </w:r>
                                </w:p>
                              </w:tc>
                            </w:tr>
                          </w:tbl>
                          <w:p w:rsidR="00EE057D" w:rsidRPr="00EE057D" w:rsidRDefault="00EE057D" w:rsidP="00EE057D">
                            <w:pPr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</w:rPr>
                              <w:t xml:space="preserve">Observe as imagens a seguir, que representam quatro momentos distintos de recordações em família. </w:t>
                            </w:r>
                          </w:p>
                          <w:p w:rsidR="00EE057D" w:rsidRDefault="00EE057D" w:rsidP="00EE057D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AF3F9C7" wp14:editId="09727470">
                                  <wp:extent cx="3590925" cy="2447925"/>
                                  <wp:effectExtent l="0" t="0" r="9525" b="9525"/>
                                  <wp:docPr id="7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r="3194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4189" cy="2484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E057D" w:rsidRPr="00EE057D" w:rsidRDefault="00EE057D" w:rsidP="00EE057D">
                            <w:pPr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</w:rPr>
                              <w:t>Associe o número de cada quadro ao tipo de fonte histórica correspondente</w:t>
                            </w:r>
                            <w:r w:rsidR="00812C63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:rsidR="00EE057D" w:rsidRDefault="00EE057D" w:rsidP="00EE057D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E057D" w:rsidRPr="00EE057D" w:rsidRDefault="00EE057D" w:rsidP="00EE057D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QUADRO 1:</w:t>
                            </w:r>
                            <w:r w:rsidRPr="00EE057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A avó conta histórias e memórias das festas de antigamente.</w:t>
                            </w:r>
                          </w:p>
                          <w:p w:rsidR="00EE057D" w:rsidRPr="00EE057D" w:rsidRDefault="00EE057D" w:rsidP="00EE057D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QUADRO 2:</w:t>
                            </w:r>
                            <w:r w:rsidRPr="00EE057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O diário da avó (1968) com suas memórias guardadas.</w:t>
                            </w:r>
                          </w:p>
                          <w:p w:rsidR="00EE057D" w:rsidRPr="00EE057D" w:rsidRDefault="00EE057D" w:rsidP="00EE057D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QUADRO 3:</w:t>
                            </w:r>
                            <w:r w:rsidRPr="00EE057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Os pratos, talheres e a cesta de doces usados nas grandes refeições.</w:t>
                            </w:r>
                          </w:p>
                          <w:p w:rsidR="00EE057D" w:rsidRPr="00EE057D" w:rsidRDefault="00EE057D" w:rsidP="00EE057D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E057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QUADRO 4:</w:t>
                            </w:r>
                            <w:r w:rsidRPr="00EE057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O álbum de fotografias antigas da família reunida.</w:t>
                            </w:r>
                          </w:p>
                          <w:p w:rsidR="00EE057D" w:rsidRDefault="00EE057D" w:rsidP="00EE057D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812C63" w:rsidRPr="00812C63" w:rsidRDefault="00812C63" w:rsidP="00812C63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12C63">
                              <w:rPr>
                                <w:rFonts w:ascii="Arial" w:hAnsi="Arial" w:cs="Arial"/>
                              </w:rPr>
                              <w:t>(    ) Fonte Material (Objeto)</w:t>
                            </w:r>
                          </w:p>
                          <w:p w:rsidR="00812C63" w:rsidRPr="00812C63" w:rsidRDefault="00812C63" w:rsidP="00812C63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12C63">
                              <w:rPr>
                                <w:rFonts w:ascii="Arial" w:hAnsi="Arial" w:cs="Arial"/>
                              </w:rPr>
                              <w:t>(    ) Fonte Oral</w:t>
                            </w:r>
                          </w:p>
                          <w:p w:rsidR="00812C63" w:rsidRPr="00812C63" w:rsidRDefault="00812C63" w:rsidP="00812C63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12C63">
                              <w:rPr>
                                <w:rFonts w:ascii="Arial" w:hAnsi="Arial" w:cs="Arial"/>
                              </w:rPr>
                              <w:t>(    ) Fonte Visual (Iconográfica)</w:t>
                            </w:r>
                          </w:p>
                          <w:p w:rsidR="00812C63" w:rsidRPr="00812C63" w:rsidRDefault="00812C63" w:rsidP="00812C63">
                            <w:pPr>
                              <w:ind w:firstLine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812C63">
                              <w:rPr>
                                <w:rFonts w:ascii="Arial" w:hAnsi="Arial" w:cs="Arial"/>
                              </w:rPr>
                              <w:t>(    ) Fonte Escrita</w:t>
                            </w:r>
                          </w:p>
                          <w:p w:rsidR="00812C63" w:rsidRDefault="00812C63" w:rsidP="00812C63">
                            <w:pPr>
                              <w:ind w:firstLine="0"/>
                              <w:jc w:val="left"/>
                            </w:pPr>
                          </w:p>
                          <w:p w:rsidR="00B61EC1" w:rsidRDefault="00B61EC1" w:rsidP="00812C63">
                            <w:pPr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.2pt;margin-top:-15.35pt;width:441pt;height:41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" filled="f" strokeweight=".5pt">
                <v:textbox>
                  <w:txbxContent>
                    <w:tbl>
                      <w:tblPr>
                        <w:tblStyle w:val="Tabelacomgrade"/>
                        <w:tblW w:w="8520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  <w:insideH w:val="single" w:sz="18" w:space="0" w:color="auto"/>
                          <w:insideV w:val="single" w:sz="18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899"/>
                        <w:gridCol w:w="2621"/>
                      </w:tblGrid>
                      <w:tr w:rsidR="00B61EC1" w:rsidRPr="00966786" w:rsidTr="005D694D">
                        <w:trPr>
                          <w:trHeight w:val="439"/>
                        </w:trPr>
                        <w:tc>
                          <w:tcPr>
                            <w:tcW w:w="5899" w:type="dxa"/>
                            <w:vAlign w:val="center"/>
                          </w:tcPr>
                          <w:p w:rsidR="00B61EC1" w:rsidRPr="00966786" w:rsidRDefault="00B61EC1" w:rsidP="00B61EC1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sz w:val="6"/>
                                <w:szCs w:val="6"/>
                                <w:lang w:eastAsia="pt-BR"/>
                              </w:rPr>
                            </w:pPr>
                          </w:p>
                          <w:p w:rsidR="00B61EC1" w:rsidRPr="00966786" w:rsidRDefault="00B61EC1" w:rsidP="00B61EC1">
                            <w:pPr>
                              <w:spacing w:line="240" w:lineRule="auto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  <w:t>Questão 0</w:t>
                            </w:r>
                          </w:p>
                          <w:p w:rsidR="00B61EC1" w:rsidRPr="00966786" w:rsidRDefault="00B61EC1" w:rsidP="00B61EC1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sz w:val="6"/>
                                <w:szCs w:val="6"/>
                                <w:lang w:eastAsia="pt-BR"/>
                              </w:rPr>
                            </w:pPr>
                          </w:p>
                        </w:tc>
                        <w:tc>
                          <w:tcPr>
                            <w:tcW w:w="2621" w:type="dxa"/>
                            <w:vAlign w:val="center"/>
                          </w:tcPr>
                          <w:p w:rsidR="00B61EC1" w:rsidRPr="00966786" w:rsidRDefault="00B61EC1" w:rsidP="00B61EC1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  <w:t xml:space="preserve">Valor: </w:t>
                            </w:r>
                          </w:p>
                        </w:tc>
                      </w:tr>
                    </w:tbl>
                    <w:p w:rsidR="00EE057D" w:rsidRPr="00EE057D" w:rsidRDefault="00EE057D" w:rsidP="00EE057D">
                      <w:pPr>
                        <w:ind w:firstLine="0"/>
                        <w:rPr>
                          <w:rFonts w:ascii="Arial" w:hAnsi="Arial" w:cs="Arial"/>
                        </w:rPr>
                      </w:pPr>
                      <w:r w:rsidRPr="00EE057D">
                        <w:rPr>
                          <w:rFonts w:ascii="Arial" w:hAnsi="Arial" w:cs="Arial"/>
                        </w:rPr>
                        <w:t xml:space="preserve">Observe as imagens a seguir, que representam quatro momentos distintos de recordações em família. </w:t>
                      </w:r>
                    </w:p>
                    <w:p w:rsidR="00EE057D" w:rsidRDefault="00EE057D" w:rsidP="00EE057D">
                      <w:pPr>
                        <w:ind w:firstLine="0"/>
                        <w:jc w:val="center"/>
                        <w:rPr>
                          <w:rFonts w:ascii="Arial" w:hAnsi="Arial" w:cs="Arial"/>
                        </w:rPr>
                      </w:pPr>
                      <w:r w:rsidRPr="00EE057D">
                        <w:rPr>
                          <w:rFonts w:ascii="Arial" w:hAnsi="Arial" w:cs="Arial"/>
                        </w:rPr>
                        <w:t>.</w:t>
                      </w: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AF3F9C7" wp14:editId="09727470">
                            <wp:extent cx="3590925" cy="2447925"/>
                            <wp:effectExtent l="0" t="0" r="9525" b="9525"/>
                            <wp:docPr id="7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9"/>
                                    <a:srcRect r="3194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44189" cy="24842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E057D" w:rsidRPr="00EE057D" w:rsidRDefault="00EE057D" w:rsidP="00EE057D">
                      <w:pPr>
                        <w:ind w:firstLine="0"/>
                        <w:rPr>
                          <w:rFonts w:ascii="Arial" w:hAnsi="Arial" w:cs="Arial"/>
                        </w:rPr>
                      </w:pPr>
                      <w:r w:rsidRPr="00EE057D">
                        <w:rPr>
                          <w:rFonts w:ascii="Arial" w:hAnsi="Arial" w:cs="Arial"/>
                        </w:rPr>
                        <w:t>Associe o número de cada quadro ao tipo de fonte histórica correspondente</w:t>
                      </w:r>
                      <w:r w:rsidR="00812C63">
                        <w:rPr>
                          <w:rFonts w:ascii="Arial" w:hAnsi="Arial" w:cs="Arial"/>
                        </w:rPr>
                        <w:t>:</w:t>
                      </w:r>
                    </w:p>
                    <w:p w:rsidR="00EE057D" w:rsidRDefault="00EE057D" w:rsidP="00EE057D">
                      <w:pPr>
                        <w:ind w:firstLine="0"/>
                        <w:jc w:val="left"/>
                        <w:rPr>
                          <w:rFonts w:ascii="Arial" w:hAnsi="Arial" w:cs="Arial"/>
                        </w:rPr>
                      </w:pPr>
                    </w:p>
                    <w:p w:rsidR="00EE057D" w:rsidRPr="00EE057D" w:rsidRDefault="00EE057D" w:rsidP="00EE057D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057D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QUADRO 1:</w:t>
                      </w:r>
                      <w:r w:rsidRPr="00EE057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A avó conta histórias e memórias das festas de antigamente.</w:t>
                      </w:r>
                    </w:p>
                    <w:p w:rsidR="00EE057D" w:rsidRPr="00EE057D" w:rsidRDefault="00EE057D" w:rsidP="00EE057D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057D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QUADRO 2:</w:t>
                      </w:r>
                      <w:r w:rsidRPr="00EE057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O diário da avó (1968) com suas memórias guardadas.</w:t>
                      </w:r>
                    </w:p>
                    <w:p w:rsidR="00EE057D" w:rsidRPr="00EE057D" w:rsidRDefault="00EE057D" w:rsidP="00EE057D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057D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QUADRO 3:</w:t>
                      </w:r>
                      <w:r w:rsidRPr="00EE057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Os pratos, talheres e a cesta de doces usados nas grandes refeições.</w:t>
                      </w:r>
                    </w:p>
                    <w:p w:rsidR="00EE057D" w:rsidRPr="00EE057D" w:rsidRDefault="00EE057D" w:rsidP="00EE057D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E057D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QUADRO 4:</w:t>
                      </w:r>
                      <w:r w:rsidRPr="00EE057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O álbum de fotografias antigas da família reunida.</w:t>
                      </w:r>
                    </w:p>
                    <w:p w:rsidR="00EE057D" w:rsidRDefault="00EE057D" w:rsidP="00EE057D">
                      <w:pPr>
                        <w:ind w:firstLine="0"/>
                        <w:jc w:val="left"/>
                        <w:rPr>
                          <w:rFonts w:ascii="Arial" w:hAnsi="Arial" w:cs="Arial"/>
                        </w:rPr>
                      </w:pPr>
                    </w:p>
                    <w:p w:rsidR="00812C63" w:rsidRPr="00812C63" w:rsidRDefault="00812C63" w:rsidP="00812C63">
                      <w:pPr>
                        <w:ind w:firstLine="0"/>
                        <w:jc w:val="left"/>
                        <w:rPr>
                          <w:rFonts w:ascii="Arial" w:hAnsi="Arial" w:cs="Arial"/>
                        </w:rPr>
                      </w:pPr>
                      <w:r w:rsidRPr="00812C63">
                        <w:rPr>
                          <w:rFonts w:ascii="Arial" w:hAnsi="Arial" w:cs="Arial"/>
                        </w:rPr>
                        <w:t>(    ) Fonte Material (Objeto)</w:t>
                      </w:r>
                    </w:p>
                    <w:p w:rsidR="00812C63" w:rsidRPr="00812C63" w:rsidRDefault="00812C63" w:rsidP="00812C63">
                      <w:pPr>
                        <w:ind w:firstLine="0"/>
                        <w:jc w:val="left"/>
                        <w:rPr>
                          <w:rFonts w:ascii="Arial" w:hAnsi="Arial" w:cs="Arial"/>
                        </w:rPr>
                      </w:pPr>
                      <w:r w:rsidRPr="00812C63">
                        <w:rPr>
                          <w:rFonts w:ascii="Arial" w:hAnsi="Arial" w:cs="Arial"/>
                        </w:rPr>
                        <w:t>(    ) Fonte Oral</w:t>
                      </w:r>
                    </w:p>
                    <w:p w:rsidR="00812C63" w:rsidRPr="00812C63" w:rsidRDefault="00812C63" w:rsidP="00812C63">
                      <w:pPr>
                        <w:ind w:firstLine="0"/>
                        <w:jc w:val="left"/>
                        <w:rPr>
                          <w:rFonts w:ascii="Arial" w:hAnsi="Arial" w:cs="Arial"/>
                        </w:rPr>
                      </w:pPr>
                      <w:r w:rsidRPr="00812C63">
                        <w:rPr>
                          <w:rFonts w:ascii="Arial" w:hAnsi="Arial" w:cs="Arial"/>
                        </w:rPr>
                        <w:t>(    ) Fonte Visual (Iconográfica)</w:t>
                      </w:r>
                    </w:p>
                    <w:p w:rsidR="00812C63" w:rsidRPr="00812C63" w:rsidRDefault="00812C63" w:rsidP="00812C63">
                      <w:pPr>
                        <w:ind w:firstLine="0"/>
                        <w:jc w:val="left"/>
                        <w:rPr>
                          <w:rFonts w:ascii="Arial" w:hAnsi="Arial" w:cs="Arial"/>
                        </w:rPr>
                      </w:pPr>
                      <w:r w:rsidRPr="00812C63">
                        <w:rPr>
                          <w:rFonts w:ascii="Arial" w:hAnsi="Arial" w:cs="Arial"/>
                        </w:rPr>
                        <w:t>(    ) Fonte Escrita</w:t>
                      </w:r>
                    </w:p>
                    <w:p w:rsidR="00812C63" w:rsidRDefault="00812C63" w:rsidP="00812C63">
                      <w:pPr>
                        <w:ind w:firstLine="0"/>
                        <w:jc w:val="left"/>
                      </w:pPr>
                    </w:p>
                    <w:p w:rsidR="00B61EC1" w:rsidRDefault="00B61EC1" w:rsidP="00812C63">
                      <w:pPr>
                        <w:ind w:firstLine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</w:p>
    <w:p w:rsidR="00C93E6B" w:rsidRDefault="00C93E6B" w:rsidP="00AD6EB6">
      <w:pPr>
        <w:spacing w:line="240" w:lineRule="auto"/>
        <w:contextualSpacing/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AD6EB6" w:rsidRDefault="00AD6EB6" w:rsidP="00AD6EB6">
      <w:pPr>
        <w:ind w:firstLine="0"/>
        <w:rPr>
          <w:rFonts w:ascii="Arial" w:hAnsi="Arial" w:cs="Arial"/>
        </w:rPr>
      </w:pPr>
    </w:p>
    <w:p w:rsidR="00C93E6B" w:rsidRDefault="00C93E6B" w:rsidP="00AD6EB6">
      <w:pPr>
        <w:ind w:firstLine="0"/>
        <w:rPr>
          <w:rFonts w:ascii="Arial" w:hAnsi="Arial" w:cs="Arial"/>
        </w:rPr>
      </w:pPr>
    </w:p>
    <w:p w:rsidR="00B61EC1" w:rsidRDefault="00B61EC1" w:rsidP="00AD6EB6">
      <w:pPr>
        <w:ind w:firstLine="0"/>
        <w:rPr>
          <w:rFonts w:ascii="Arial" w:hAnsi="Arial" w:cs="Arial"/>
        </w:rPr>
      </w:pPr>
    </w:p>
    <w:p w:rsidR="00B61EC1" w:rsidRDefault="00B61EC1" w:rsidP="00AD6EB6">
      <w:pPr>
        <w:ind w:firstLine="0"/>
        <w:rPr>
          <w:rFonts w:ascii="Arial" w:hAnsi="Arial" w:cs="Arial"/>
        </w:rPr>
      </w:pPr>
    </w:p>
    <w:p w:rsidR="00B61EC1" w:rsidRDefault="00B61EC1" w:rsidP="00AD6EB6">
      <w:pPr>
        <w:ind w:firstLine="0"/>
        <w:rPr>
          <w:rFonts w:ascii="Arial" w:hAnsi="Arial" w:cs="Arial"/>
        </w:rPr>
      </w:pPr>
    </w:p>
    <w:p w:rsidR="00B92D61" w:rsidRDefault="00B92D61" w:rsidP="00AD6EB6">
      <w:pPr>
        <w:ind w:firstLine="0"/>
        <w:rPr>
          <w:rFonts w:ascii="Arial" w:hAnsi="Arial" w:cs="Arial"/>
        </w:rPr>
      </w:pPr>
    </w:p>
    <w:p w:rsidR="00B92D61" w:rsidRDefault="00B92D61" w:rsidP="00AD6EB6">
      <w:pPr>
        <w:ind w:firstLine="0"/>
        <w:rPr>
          <w:rFonts w:ascii="Arial" w:hAnsi="Arial" w:cs="Arial"/>
        </w:rPr>
      </w:pPr>
    </w:p>
    <w:p w:rsidR="00B92D61" w:rsidRDefault="00B92D61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p w:rsidR="00EE057D" w:rsidRDefault="00EE057D" w:rsidP="00AD6EB6">
      <w:pPr>
        <w:ind w:firstLine="0"/>
        <w:rPr>
          <w:rFonts w:ascii="Arial" w:hAnsi="Arial" w:cs="Arial"/>
        </w:rPr>
      </w:pPr>
    </w:p>
    <w:tbl>
      <w:tblPr>
        <w:tblpPr w:leftFromText="141" w:rightFromText="141" w:vertAnchor="text" w:horzAnchor="margin" w:tblpY="89"/>
        <w:tblW w:w="87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199"/>
        <w:gridCol w:w="3292"/>
      </w:tblGrid>
      <w:tr w:rsidR="006D711A" w:rsidRPr="00EE057D" w:rsidTr="006D711A">
        <w:trPr>
          <w:trHeight w:val="543"/>
          <w:tblHeader/>
          <w:tblCellSpacing w:w="15" w:type="dxa"/>
        </w:trPr>
        <w:tc>
          <w:tcPr>
            <w:tcW w:w="22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057D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Critério de Distribuição de Pontos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057D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Item A (0,50)</w:t>
            </w:r>
          </w:p>
        </w:tc>
        <w:tc>
          <w:tcPr>
            <w:tcW w:w="32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057D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Item B (0,50)</w:t>
            </w:r>
          </w:p>
        </w:tc>
      </w:tr>
      <w:tr w:rsidR="006D711A" w:rsidRPr="00EE057D" w:rsidTr="006D711A">
        <w:trPr>
          <w:trHeight w:val="1209"/>
          <w:tblCellSpacing w:w="15" w:type="dxa"/>
        </w:trPr>
        <w:tc>
          <w:tcPr>
            <w:tcW w:w="22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after="480" w:line="240" w:lineRule="auto"/>
              <w:ind w:firstLine="0"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057D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Pontuação Total (Pleno Domínio):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before="100" w:beforeAutospacing="1" w:after="100" w:afterAutospacing="1"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0,50 ponto:</w:t>
            </w:r>
            <w:r>
              <w:t xml:space="preserve"> Associou perfeitamente as duas numerações correspondentes à </w:t>
            </w:r>
            <w:r>
              <w:rPr>
                <w:b/>
                <w:bCs/>
              </w:rPr>
              <w:t>Fonte Material (3)</w:t>
            </w:r>
            <w:r>
              <w:t xml:space="preserve"> e à </w:t>
            </w:r>
            <w:r>
              <w:rPr>
                <w:b/>
                <w:bCs/>
              </w:rPr>
              <w:t>Fonte Oral (1)</w:t>
            </w:r>
            <w:r>
              <w:t>.</w:t>
            </w:r>
          </w:p>
        </w:tc>
        <w:tc>
          <w:tcPr>
            <w:tcW w:w="32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before="100" w:beforeAutospacing="1" w:after="100" w:afterAutospacing="1"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0,50 ponto:</w:t>
            </w:r>
            <w:r>
              <w:t xml:space="preserve"> Associou perfeitamente as duas numerações correspondentes à </w:t>
            </w:r>
            <w:r>
              <w:rPr>
                <w:b/>
                <w:bCs/>
              </w:rPr>
              <w:t>Fonte Visual (4)</w:t>
            </w:r>
            <w:r>
              <w:t xml:space="preserve"> e à </w:t>
            </w:r>
            <w:r>
              <w:rPr>
                <w:b/>
                <w:bCs/>
              </w:rPr>
              <w:t>Fonte Escrita (2)</w:t>
            </w:r>
            <w:r>
              <w:t>.</w:t>
            </w:r>
          </w:p>
        </w:tc>
      </w:tr>
      <w:tr w:rsidR="006D711A" w:rsidRPr="00EE057D" w:rsidTr="006D711A">
        <w:trPr>
          <w:trHeight w:val="1246"/>
          <w:tblCellSpacing w:w="15" w:type="dxa"/>
        </w:trPr>
        <w:tc>
          <w:tcPr>
            <w:tcW w:w="22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057D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Pontuação Parcial (Domínio Parcial):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0,25 ponto:</w:t>
            </w:r>
            <w:r>
              <w:t xml:space="preserve"> Acertou a correspondência de apenas um dos dois tipos de fontes desta coluna.</w:t>
            </w:r>
          </w:p>
        </w:tc>
        <w:tc>
          <w:tcPr>
            <w:tcW w:w="32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0,25 ponto:</w:t>
            </w:r>
            <w:r>
              <w:t xml:space="preserve"> Acertou a correspondência de apenas um dos dois tipos de fontes desta coluna.</w:t>
            </w:r>
          </w:p>
        </w:tc>
      </w:tr>
      <w:tr w:rsidR="006D711A" w:rsidRPr="00EE057D" w:rsidTr="006D711A">
        <w:trPr>
          <w:trHeight w:val="703"/>
          <w:tblCellSpacing w:w="15" w:type="dxa"/>
        </w:trPr>
        <w:tc>
          <w:tcPr>
            <w:tcW w:w="22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057D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Pontuação Nula (Incorreta):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line="240" w:lineRule="auto"/>
              <w:ind w:firstLine="0"/>
              <w:contextualSpacing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0,00 ponto:</w:t>
            </w:r>
            <w:r>
              <w:t xml:space="preserve"> Errou ambas as associações ou deixou os parênteses em branco.</w:t>
            </w:r>
          </w:p>
        </w:tc>
        <w:tc>
          <w:tcPr>
            <w:tcW w:w="32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711A" w:rsidRPr="00EE057D" w:rsidRDefault="006D711A" w:rsidP="006D711A">
            <w:pPr>
              <w:spacing w:before="100" w:beforeAutospacing="1" w:after="100" w:afterAutospacing="1"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b/>
                <w:bCs/>
              </w:rPr>
              <w:t>0,00 ponto:</w:t>
            </w:r>
            <w:r>
              <w:t xml:space="preserve"> Errou ambas as associações ou deixou os parênteses em branco.</w:t>
            </w:r>
          </w:p>
        </w:tc>
      </w:tr>
    </w:tbl>
    <w:p w:rsidR="00B92D61" w:rsidRDefault="00B92D61" w:rsidP="006D711A">
      <w:pPr>
        <w:ind w:firstLine="0"/>
        <w:rPr>
          <w:rFonts w:ascii="Arial" w:hAnsi="Arial" w:cs="Arial"/>
        </w:rPr>
      </w:pPr>
      <w:bookmarkStart w:id="0" w:name="_GoBack"/>
      <w:bookmarkEnd w:id="0"/>
    </w:p>
    <w:sectPr w:rsidR="00B92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EB6" w:rsidRDefault="00AD6EB6" w:rsidP="00AD6EB6">
      <w:pPr>
        <w:spacing w:line="240" w:lineRule="auto"/>
      </w:pPr>
      <w:r>
        <w:separator/>
      </w:r>
    </w:p>
  </w:endnote>
  <w:endnote w:type="continuationSeparator" w:id="0">
    <w:p w:rsidR="00AD6EB6" w:rsidRDefault="00AD6EB6" w:rsidP="00AD6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EB6" w:rsidRDefault="00AD6EB6" w:rsidP="00AD6EB6">
      <w:pPr>
        <w:spacing w:line="240" w:lineRule="auto"/>
      </w:pPr>
      <w:r>
        <w:separator/>
      </w:r>
    </w:p>
  </w:footnote>
  <w:footnote w:type="continuationSeparator" w:id="0">
    <w:p w:rsidR="00AD6EB6" w:rsidRDefault="00AD6EB6" w:rsidP="00AD6E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371C5"/>
    <w:multiLevelType w:val="hybridMultilevel"/>
    <w:tmpl w:val="38B03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B3740"/>
    <w:multiLevelType w:val="multilevel"/>
    <w:tmpl w:val="A13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49"/>
    <w:rsid w:val="0065057E"/>
    <w:rsid w:val="006D711A"/>
    <w:rsid w:val="007C0194"/>
    <w:rsid w:val="00812C63"/>
    <w:rsid w:val="008520FC"/>
    <w:rsid w:val="00A07146"/>
    <w:rsid w:val="00AD6EB6"/>
    <w:rsid w:val="00B61EC1"/>
    <w:rsid w:val="00B92D61"/>
    <w:rsid w:val="00C93E6B"/>
    <w:rsid w:val="00D43D49"/>
    <w:rsid w:val="00EE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0CABF-888A-4BA7-A164-FFFF22E7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194"/>
    <w:pPr>
      <w:spacing w:line="278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D4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3D49"/>
    <w:rPr>
      <w:b/>
      <w:bCs/>
    </w:rPr>
  </w:style>
  <w:style w:type="table" w:styleId="Tabelacomgrade">
    <w:name w:val="Table Grid"/>
    <w:basedOn w:val="Tabelanormal"/>
    <w:uiPriority w:val="39"/>
    <w:rsid w:val="00AD6EB6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D6EB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6EB6"/>
  </w:style>
  <w:style w:type="paragraph" w:styleId="Rodap">
    <w:name w:val="footer"/>
    <w:basedOn w:val="Normal"/>
    <w:link w:val="RodapChar"/>
    <w:uiPriority w:val="99"/>
    <w:unhideWhenUsed/>
    <w:rsid w:val="00AD6EB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6EB6"/>
  </w:style>
  <w:style w:type="paragraph" w:styleId="PargrafodaLista">
    <w:name w:val="List Paragraph"/>
    <w:basedOn w:val="Normal"/>
    <w:uiPriority w:val="34"/>
    <w:qFormat/>
    <w:rsid w:val="00AD6EB6"/>
    <w:pPr>
      <w:spacing w:after="160" w:line="256" w:lineRule="auto"/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38B31-E08E-4E72-948D-CF56C228A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363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4</cp:revision>
  <dcterms:created xsi:type="dcterms:W3CDTF">2026-06-11T18:06:00Z</dcterms:created>
  <dcterms:modified xsi:type="dcterms:W3CDTF">2026-06-22T14:00:00Z</dcterms:modified>
</cp:coreProperties>
</file>