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Arial" w:hAnsi="Arial" w:eastAsia="PingFang SC"/>
          <w:b/>
          <w:color w:val="247A7A"/>
          <w:sz w:val="20"/>
        </w:rPr>
        <w:t>客户需求工作底稿</w:t>
      </w:r>
    </w:p>
    <w:p>
      <w:pPr>
        <w:pStyle w:val="Title"/>
        <w:spacing w:after="160"/>
      </w:pPr>
      <w:r>
        <w:rPr>
          <w:rFonts w:ascii="Arial" w:hAnsi="Arial" w:eastAsia="PingFang SC"/>
          <w:b/>
          <w:color w:val="17324D"/>
          <w:sz w:val="58"/>
        </w:rPr>
        <w:t>智能经营分析工作台一期</w:t>
      </w:r>
    </w:p>
    <w:p>
      <w:pPr>
        <w:pStyle w:val="Subtitle"/>
      </w:pPr>
      <w:r>
        <w:rPr>
          <w:rFonts w:ascii="Arial" w:hAnsi="Arial" w:eastAsia="PingFang SC"/>
          <w:color w:val="667085"/>
          <w:sz w:val="27"/>
        </w:rPr>
        <w:t>项目需求初稿｜业务部门整理版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AD4DE"/>
          <w:left w:val="single" w:sz="6" w:color="CAD4DE"/>
          <w:bottom w:val="single" w:sz="6" w:color="CAD4DE"/>
          <w:right w:val="single" w:sz="6" w:color="CAD4DE"/>
          <w:insideH w:val="single" w:sz="6" w:color="CAD4DE"/>
          <w:insideV w:val="single" w:sz="6" w:color="CAD4DE"/>
        </w:tblBorders>
      </w:tblPr>
      <w:tblGrid>
        <w:gridCol w:w="4896"/>
        <w:gridCol w:w="4896"/>
      </w:tblGrid>
      <w:tr>
        <w:tc>
          <w:tcPr>
            <w:tcW w:type="dxa" w:w="1944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color w:val="17324D"/>
                <w:sz w:val="19"/>
              </w:rPr>
              <w:t>客户单位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sz w:val="19"/>
              </w:rPr>
              <w:t>星桥生活电商有限公司</w:t>
            </w:r>
          </w:p>
        </w:tc>
      </w:tr>
      <w:tr>
        <w:tc>
          <w:tcPr>
            <w:tcW w:type="dxa" w:w="1944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color w:val="17324D"/>
                <w:sz w:val="19"/>
              </w:rPr>
              <w:t>牵头部门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sz w:val="19"/>
              </w:rPr>
              <w:t>经营分析中心（联合运营、供应链与信息技术部）</w:t>
            </w:r>
          </w:p>
        </w:tc>
      </w:tr>
      <w:tr>
        <w:tc>
          <w:tcPr>
            <w:tcW w:type="dxa" w:w="1944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color w:val="17324D"/>
                <w:sz w:val="19"/>
              </w:rPr>
              <w:t>业务负责人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sz w:val="19"/>
              </w:rPr>
              <w:t>罗欣｜经营分析负责人</w:t>
            </w:r>
          </w:p>
        </w:tc>
      </w:tr>
      <w:tr>
        <w:tc>
          <w:tcPr>
            <w:tcW w:type="dxa" w:w="1944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color w:val="17324D"/>
                <w:sz w:val="19"/>
              </w:rPr>
              <w:t>版本与日期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sz w:val="19"/>
              </w:rPr>
              <w:t>V0.7｜2026-08-24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PingFang SC"/>
                <w:color w:val="7A5400"/>
                <w:sz w:val="20"/>
              </w:rPr>
              <w:t>说明：本文档由业务部门根据现有工作方式整理，目的是说明“为什么要做”和“希望先解决什么”。指标口径、部署方式、模型验收标准及多人使用范围尚未完全统一，需要在项目启动后继续确认。</w:t>
            </w:r>
          </w:p>
        </w:tc>
      </w:tr>
    </w:tbl>
    <w:p/>
    <w:p>
      <w:pPr>
        <w:jc w:val="center"/>
      </w:pPr>
      <w:r>
        <w:rPr>
          <w:rFonts w:ascii="Arial" w:hAnsi="Arial" w:eastAsia="PingFang SC"/>
          <w:i/>
          <w:color w:val="667085"/>
          <w:sz w:val="18"/>
        </w:rPr>
        <w:t>内部资料｜未经项目负责人确认，不作为最终验收依据</w:t>
      </w:r>
    </w:p>
    <w:p>
      <w:r>
        <w:br w:type="page"/>
      </w:r>
    </w:p>
    <w:p>
      <w:pPr>
        <w:pStyle w:val="Heading1"/>
      </w:pPr>
      <w:r>
        <w:t>1. 项目背景与发起原因</w:t>
      </w:r>
    </w:p>
    <w:p>
      <w:pPr>
        <w:spacing w:after="160"/>
      </w:pPr>
      <w:r>
        <w:t>星桥生活电商目前经营自营商城、天猫、京东、抖音四个主要销售渠道，在华东、华南和华北设有三个仓配节点。过去两年订单规模增长较快，数据仍主要依赖各业务系统导出后在 Excel 中拼接。经营分析团队每天上午需要下载订单、发货、售后、会员和活动数据，手工处理后再向管理层发送日报。</w:t>
      </w:r>
    </w:p>
    <w:p>
      <w:pPr>
        <w:spacing w:after="160"/>
      </w:pPr>
      <w:r>
        <w:t>现有方式可以完成固定报表，但当业务提出“某渠道退货率为什么升高”“哪些新客可能在 30 天内复购”“华南仓延迟是否集中在特定品类”等问题时，分析师通常需要重新取数、核对字段、编写 SQL 并单独制作图表。一次临时分析从半天到两天不等，分析过程和代码散落在个人电脑，后续很难复用。</w:t>
      </w:r>
    </w:p>
    <w:p>
      <w:pPr>
        <w:spacing w:after="160"/>
      </w:pPr>
      <w:r>
        <w:t>公司计划在 2026 年双十一前完成一期试点，希望先为经营分析人员提供一个本地优先的分析工作台，把数据接入、只读查询、质量检查、可视化、建模实验和报告版本放在同一个项目中。管理层同时提出未来应覆盖运营、供应链和用户增长岗位，但首期实际使用人数尚未最终确认。</w:t>
      </w:r>
    </w:p>
    <w:p>
      <w:pPr>
        <w:pStyle w:val="Heading2"/>
      </w:pPr>
      <w:r>
        <w:t>1.1 当前工作量与主要问题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当前表现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业务影响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日报制作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每日约 23 个导出文件，2～3 小时人工整理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上午会议前经常只能给出结果，无法解释变化原因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指标口径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GMV、退款率、复购率至少存在 6 套常用版本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同一会议中出现不同数字，业务需要反复对账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临时分析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SQL、Python 和图表保存在个人目录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难以复现，人员休假时无法继续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模型实验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偶尔在 Notebook 中完成，训练数据和参数未统一登记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业务无法判断模型版本是否可用于新数据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报告输出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周报、月报主要复制粘贴到 PPT 或 Word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图表来源和更新时间不清楚，修改成本高</w:t>
            </w:r>
          </w:p>
        </w:tc>
      </w:tr>
    </w:tbl>
    <w:p>
      <w:pPr>
        <w:spacing w:after="40"/>
      </w:pPr>
    </w:p>
    <w:p>
      <w:pPr>
        <w:pStyle w:val="Heading1"/>
      </w:pPr>
      <w:r>
        <w:t>2. 项目目标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建立项目化分析空间：每个经营问题拥有独立数据源、查询、图表、模型、报告和分析记录。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统一接入 CSV、Excel、SQLite 与 MySQL 只读数据源，保留数据画像、字段基线和来源指纹。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允许分析师使用自然语言提出问题，同时能够看到实际执行的 SQL、数据范围和生成产物。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支持数据质量检查、标准清洗、特征工程、分类/回归/聚类实验以及模型横向比较。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把数据片段、SQL、代码、图表、模型、预测和报告之间的关系保留下来，便于复核和继续工作。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支持 Markdown 作为报告内容底稿，并能够生成可供管理层查看的正式报告版本。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在没有在线模型时，数据接入、查询、建模和报告等确定性能力仍可运行。</w:t>
      </w:r>
    </w:p>
    <w:p>
      <w:pPr>
        <w:pStyle w:val="Heading2"/>
      </w:pPr>
      <w:r>
        <w:t>2.1 期望业务结果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结果方向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当前基线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一期期望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日常报表效率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2～3 小时/天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30 分钟内完成初稿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不要求完全无人值守，需保留人工确认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临时问题响应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0.5～2 个工作日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常见问题 30 分钟内形成可复核结果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复杂分析不以“秒级回答”为目标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分析可追溯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依赖个人文件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关键结论可回到数据、SQL、图表或模型产物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至少保留项目级版本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模型使用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零散实验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形成一套可复现的复购预测基线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验收指标仍需确认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报告交付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手工复制粘贴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周报可从选定产物生成并持续编辑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图表需标注来源和版本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首期权限设想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经营分析师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3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接入数据、写查询、做图表、建模、编写报告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完整项目操作权限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运营负责人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4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查看经营结论、提出问题、确认指标口径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查看及评论，是否可直接提问待定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供应链负责人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分析仓库、履约、延迟和售后原因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查看及下载已确认结果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用户增长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分群、复购、活动效果分析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查看及发起分析需求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管理层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5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查看周报、月报和关键变化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只读查看报告版本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信息技术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数据连接、权限、备份和运行维护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系统管理权限</w:t>
            </w:r>
          </w:p>
        </w:tc>
      </w:tr>
    </w:tbl>
    <w:p>
      <w:pPr>
        <w:spacing w:after="40"/>
      </w:pPr>
    </w:p>
    <w:p>
      <w:pPr>
        <w:pStyle w:val="Heading2"/>
      </w:pPr>
      <w:r>
        <w:t>3.1 首批高频分析场景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典型问题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期望输出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经营概览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昨日 GMV、订单量、客单价和退款率为什么变化？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趋势、渠道/区域拆解、异常说明和可复核查询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履约分析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华南仓延迟上升来自承运商、仓库还是商品结构？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按仓库、地区、品类和承运商分层的延迟率与明细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客户分群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新客、复购客、高价值客分别有哪些特征？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可保存的客户分群数据片段和画像说明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复购预测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哪些首购客户在 30 天内更可能复购？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训练数据、特征、模型指标、预测结果和复现代码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售后归因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某活动期间退货率提高是否集中在少数 SKU？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异常 SKU、订单明细、活动对比和证据图表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经营报告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将本周已确认结论整理为周报并保留修改版本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带数据来源、图表和结论的报告版本</w:t>
            </w:r>
          </w:p>
        </w:tc>
      </w:tr>
    </w:tbl>
    <w:p>
      <w:pPr>
        <w:spacing w:after="40"/>
      </w:pPr>
    </w:p>
    <w:p>
      <w:pPr>
        <w:pStyle w:val="Heading1"/>
      </w:pPr>
      <w:r>
        <w:t>4. 一期范围设想</w:t>
      </w:r>
    </w:p>
    <w:p>
      <w:pPr>
        <w:pStyle w:val="Heading2"/>
      </w:pPr>
      <w:r>
        <w:t>4.1 必须具备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本地创建、重命名、归档和导出分析项目；不同项目的数据和产物相互隔离。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导入 CSV、Excel、SQLite 文件并连接 MySQL；连接数据库时默认只读。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展示数据画像、字段类型、空值、唯一值、最小/最大值和来源变化提示。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在明确选择数据源后执行只读查询，并把查询结果保存为项目数据片段。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基于数据片段完成质量画像、清洗、特征工程、图表保存和模型实验。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登记模型配置、指标、代码、模型文件和逐行预测；可以比较历史实验。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根据选定产物生成报告，报告修改与恢复均形成新版本。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关键数据、查询、代码、图表、模型和报告之间能够追溯。</w:t>
      </w:r>
    </w:p>
    <w:p>
      <w:pPr>
        <w:pStyle w:val="Heading2"/>
      </w:pPr>
      <w:r>
        <w:t>4.2 希望一期尽量包含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自然语言分析入口，可以将业务问题转化为查询、图表或分析步骤。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沉淀可复用的分析 Skills，例如数据质量审计、履约异常分析、客户分群和完整报告。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局域网内多人访问、企业统一登录和部门级权限控制。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从 MySQL 定时同步每日增量数据，工作日上午 8:30 前完成更新。</w:t>
      </w:r>
    </w:p>
    <w:p>
      <w:pPr>
        <w:pStyle w:val="Heading2"/>
      </w:pPr>
      <w:r>
        <w:t>4.3 本期明确不包含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直接修改 OMS、WMS、CRM 或 MySQL 生产库中的任何数据。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自动向客户发送优惠券、短信或运营触达；系统只输出分析结果和建议名单。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替代财务结算或形成具有会计效力的经营口径。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面向全公司的复杂团队协作、审批流和移动端应用。</w:t>
      </w:r>
    </w:p>
    <w:p>
      <w:r>
        <w:br w:type="page"/>
      </w:r>
    </w:p>
    <w:p>
      <w:pPr>
        <w:pStyle w:val="Heading1"/>
      </w:pPr>
      <w:r>
        <w:t>5. 数据来源与现状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数据源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历史规模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更新方式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当前问题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OMS 订单库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订单主表、订单明细、支付、渠道、活动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主表约 186 万行；明细约 542 万行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MySQL，每日增量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退款状态回写滞后；渠道名称不统一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WMS 履约库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仓库、出库、承运商、承诺/实际送达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约 179 万行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MySQL，每日增量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节假日承诺日期规则未结构化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CRM 会员导出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会员等级、注册渠道、首购时间、标签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约 42.3 万行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Excel，每周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手机号和地址属于敏感信息，标签存在人工维护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售后系统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退货、退款、换货、原因和处理时间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约 8.2 万行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CSV，每日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一笔订单可能有多条售后记录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商品中心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SKU、类目、品牌、上下架和成本参考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约 3.6 万 SKU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Excel，不定期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历史类目调整未保留映射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经营目标表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渠道预算、GMV 目标、活动目标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月度约 200 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Excel，每月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目标版本通过群聊发送，缺少统一版本号</w:t>
            </w:r>
          </w:p>
        </w:tc>
      </w:tr>
    </w:tbl>
    <w:p>
      <w:pPr>
        <w:spacing w:after="40"/>
      </w:pPr>
    </w:p>
    <w:p>
      <w:pPr>
        <w:spacing w:after="160"/>
      </w:pPr>
      <w:r>
        <w:t>随本需求提供的《数据源与字段清单.xlsx》是 2026-08-24 的初步盘点，字段定义来自业务人员，不代表数据库最终结构。样例 CSV 已脱敏，仅用于验证字段读取和分析流程。</w:t>
      </w:r>
    </w:p>
    <w:p>
      <w:pPr>
        <w:pStyle w:val="Heading2"/>
      </w:pPr>
      <w:r>
        <w:t>5.1 重点指标及已知口径差异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264"/>
        <w:gridCol w:w="3264"/>
        <w:gridCol w:w="3264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当前常见口径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已知分歧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GMV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支付成功订单金额，通常不扣除退款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财务月报使用退款后净 GMV；运营日报使用支付 GMV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退款率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退款订单数 / 支付订单数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部分团队按退款金额 / 支付金额计算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准时送达率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实际送达日期不晚于承诺日期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承诺日期是否扣除节假日、偏远地区尚未统一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30 天复购率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首购后 30 天内再次支付的客户数 / 首购客户数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增长团队要求观察 60 天；同一天多单是否算复购未定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高价值客户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近 90 天支付金额和频次综合判断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阈值每月调整，目前没有版本化规则</w:t>
            </w:r>
          </w:p>
        </w:tc>
      </w:tr>
    </w:tbl>
    <w:p>
      <w:pPr>
        <w:spacing w:after="40"/>
      </w:pPr>
    </w:p>
    <w:p>
      <w:pPr>
        <w:pStyle w:val="Heading1"/>
      </w:pPr>
      <w:r>
        <w:t>6. 功能要求细化</w:t>
      </w:r>
    </w:p>
    <w:p>
      <w:pPr>
        <w:pStyle w:val="Heading3"/>
      </w:pPr>
      <w:r>
        <w:t>数据资产</w:t>
      </w:r>
    </w:p>
    <w:p>
      <w:r>
        <w:t>上传后应显示来源类型、文件大小、字段画像、更新时间、项目使用情况和来源变化提示。数据资产只有明确绑定后才进入某个项目。</w:t>
      </w:r>
    </w:p>
    <w:p>
      <w:pPr>
        <w:pStyle w:val="Heading3"/>
      </w:pPr>
      <w:r>
        <w:t>安全查询</w:t>
      </w:r>
    </w:p>
    <w:p>
      <w:r>
        <w:t>查询只允许 SELECT 或等价只读语句，拒绝 DDL、DML 和多语句。结果需记录所用数据源、SQL、执行时间、行数和内容哈希。</w:t>
      </w:r>
    </w:p>
    <w:p>
      <w:pPr>
        <w:pStyle w:val="Heading3"/>
      </w:pPr>
      <w:r>
        <w:t>数据探索</w:t>
      </w:r>
    </w:p>
    <w:p>
      <w:r>
        <w:t>同一数据片段可切换表格、柱状图、折线图和散点图。保存图表时应记录维度、指标和来源数据片段。</w:t>
      </w:r>
    </w:p>
    <w:p>
      <w:pPr>
        <w:pStyle w:val="Heading3"/>
      </w:pPr>
      <w:r>
        <w:t>数据处理</w:t>
      </w:r>
    </w:p>
    <w:p>
      <w:r>
        <w:t>质量画像需要给出缺失、重复、异常范围和建议；标准清洗与特征工程必须生成新产物，不覆盖原始数据。</w:t>
      </w:r>
    </w:p>
    <w:p>
      <w:pPr>
        <w:pStyle w:val="Heading3"/>
      </w:pPr>
      <w:r>
        <w:t>模型实验</w:t>
      </w:r>
    </w:p>
    <w:p>
      <w:r>
        <w:t>至少支持分类、回归和聚类。训练时显式选择目标列与特征，记录随机种子、数据划分、参数、指标、模型和预测。</w:t>
      </w:r>
    </w:p>
    <w:p>
      <w:pPr>
        <w:pStyle w:val="Heading3"/>
      </w:pPr>
      <w:r>
        <w:t>项目对话</w:t>
      </w:r>
    </w:p>
    <w:p>
      <w:r>
        <w:t>自然语言入口应能引用本项目已选数据和已登记产物。执行前应说明计划，执行后给出证据而不是只返回结论。</w:t>
      </w:r>
    </w:p>
    <w:p>
      <w:pPr>
        <w:pStyle w:val="Heading3"/>
      </w:pPr>
      <w:r>
        <w:t>报告版本</w:t>
      </w:r>
    </w:p>
    <w:p>
      <w:r>
        <w:t>报告正文以 Markdown 为内容底稿，图表只能引用已保存产物。修改和恢复历史版本均形成新版本并保留操作说明。</w:t>
      </w:r>
    </w:p>
    <w:p>
      <w:pPr>
        <w:pStyle w:val="Heading3"/>
      </w:pPr>
      <w:r>
        <w:t>Skills</w:t>
      </w:r>
    </w:p>
    <w:p>
      <w:r>
        <w:t>业务方法应以可读说明和受控脚本形式扩展。脚本型 Skill 需要在无网络沙箱中运行，禁止直接访问宿主机敏感目录。</w:t>
      </w:r>
    </w:p>
    <w:p>
      <w:r>
        <w:br w:type="page"/>
      </w:r>
    </w:p>
    <w:p>
      <w:pPr>
        <w:pStyle w:val="Heading1"/>
      </w:pPr>
      <w:r>
        <w:t>7. 技术、安全与运行要求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初步要求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备注/待确认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部署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原始经营数据优先保存在公司电脑或局域网环境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首期单机试点与 20 人访问目标存在冲突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模型与隐私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手机号、地址、姓名和会员标识不得发送到外部模型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需确认脱敏策略、模型部署方式和允许发送的字段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数据库安全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MySQL 使用只读账号；禁止写回生产库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账号由 IT 配置，不写入项目源码或交付文件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性能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100 万行常见聚合查询 P95 小于 10 秒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测试设备暂定 16 GB 内存 MacBook；最大明细表超过 500 万行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可用性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无在线模型时，数据接入、查询、建模和报告仍可使用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自然语言对话可以降级，但不能影响确定性能力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备份恢复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项目、数据源配置、报告和模型产物可导出并恢复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备份周期、保存位置和保留时长未确定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浏览器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Chrome、Edge 当前稳定版；Windows 用户可使用 WSL2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是否要求 Windows 原生运行待 IT 确认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审计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关键查询和模型实验需能回看来源与时间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目前不要求企业级操作审计和审批流</w:t>
            </w:r>
          </w:p>
        </w:tc>
      </w:tr>
    </w:tbl>
    <w:p>
      <w:pPr>
        <w:spacing w:after="40"/>
      </w:pPr>
    </w:p>
    <w:p>
      <w:pPr>
        <w:pStyle w:val="Heading1"/>
      </w:pPr>
      <w:r>
        <w:t>8. 计划与协作方式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建议时间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客户侧工作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期望结果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需求与数据盘点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9/1～9/10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确认指标、数据表、样例和安全边界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需求基线、字段清单、风险清单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交互原型与技术验证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9/11～9/25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每周评审两次，提供典型分析问题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可演示的数据接入和分析链路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核心功能实现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9/26～10/15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提供测试账号、脱敏数据和反馈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查询、图表、模型、报告形成闭环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试运行与修正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10/16～10/23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3 名分析师真实试用并记录问题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可用性和口径问题收敛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验收与移交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10/26～10/30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确认报告、文档和培训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验收记录、部署说明和使用手册</w:t>
            </w:r>
          </w:p>
        </w:tc>
      </w:tr>
    </w:tbl>
    <w:p>
      <w:pPr>
        <w:spacing w:after="40"/>
      </w:pPr>
    </w:p>
    <w:p>
      <w:r>
        <w:t>管理层另提出“国庆前看到可用于经营会议的版本”。业务团队理解为能够演示核心流程，不是完成正式验收；该理解需要在启动会上书面确认。</w:t>
      </w:r>
    </w:p>
    <w:p>
      <w:pPr>
        <w:pStyle w:val="Heading1"/>
      </w:pPr>
      <w:r>
        <w:t>9. 初步验收设想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264"/>
        <w:gridCol w:w="3264"/>
        <w:gridCol w:w="3264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验收方向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初步判定方式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业务流程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从数据接入到查询、图表、模型和报告完成一条真实链路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基本明确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数据正确性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抽取 10 个已知问题与现有 SQL/Excel 结果对账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样例待业务提供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性能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指定设备上对 100 万行数据执行 5 类常见查询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设备和查询集待确认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安全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只读查询、敏感字段处理、凭证不落入交付包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需 IT 评审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复购模型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需求初稿提出准确率不低于 80%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类别不平衡时该指标可能不适用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报告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周报图表可追溯到数据和查询，修改生成新版本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B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基本明确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使用培训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3 名分析师完成一次独立分析并导出项目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sz w:val="18"/>
              </w:rPr>
              <w:t>基本明确</w:t>
            </w:r>
          </w:p>
        </w:tc>
      </w:tr>
    </w:tbl>
    <w:p>
      <w:pPr>
        <w:spacing w:after="40"/>
      </w:pPr>
    </w:p>
    <w:p>
      <w:pPr>
        <w:pStyle w:val="Heading1"/>
      </w:pPr>
      <w:r>
        <w:t>10. 启动前需要确认的问题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首期到底是 3 名分析师单机试点，还是需要 20 人同时通过局域网访问？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GMV、退款率、准时送达率和复购率分别采用哪一套口径，谁有最终确认权？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自然语言分析允许使用云模型、公司私有模型，还是只能使用脱敏后的字段和样本？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一期必须直连 MySQL，还是先用每日脱敏文件完成流程验证？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复购预测的业务动作是什么：筛选名单、解释特征，还是要求系统直接触达客户？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模型验收使用准确率、AUC、召回率、F1 还是业务收益；训练和测试时间窗口如何切分？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节假日、偏远地区和预约配送如何进入准时送达率计算？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报告需要导出 HTML、PDF、Word 还是只在系统内查看？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项目数据与产物保存多久，备份位置由谁维护，离线迁移是否必须？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是否需要 Windows 原生运行，还是接受 WSL2 或公司统一 Linux 环境？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国庆前“可用版本”指演示、试运行还是正式上线？</w:t>
      </w:r>
    </w:p>
    <w:p>
      <w:pPr>
        <w:pStyle w:val="ListNumber"/>
        <w:spacing w:after="80" w:line="276" w:lineRule="auto"/>
      </w:pPr>
      <w:r>
        <w:rPr>
          <w:rFonts w:ascii="Arial" w:hAnsi="Arial" w:eastAsia="PingFang SC"/>
          <w:sz w:val="21"/>
        </w:rPr>
        <w:t>验收问题集、对账 SQL 和业务基线数据由谁在何时提供？</w:t>
      </w:r>
    </w:p>
    <w:p>
      <w:pPr>
        <w:pStyle w:val="Heading1"/>
      </w:pPr>
      <w:r>
        <w:t>附件清单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《02-业务访谈纪要.pdf》：2026-08-25 业务与 IT 联合访谈记录。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《03-数据源与字段清单.xlsx》：数据源、字段、指标口径与权限敏感等级初步盘点。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《04-业务现状与目标汇报.pptx》：管理层用于内部立项沟通的现状说明。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《05-脱敏订单数据样例.csv》：520 行模拟订单明细，包含少量刻意保留的数据质量问题。</w:t>
      </w:r>
    </w:p>
    <w:p>
      <w:pPr>
        <w:pStyle w:val="ListBullet"/>
        <w:spacing w:after="80" w:line="276" w:lineRule="auto"/>
      </w:pPr>
      <w:r>
        <w:rPr>
          <w:rFonts w:ascii="Arial" w:hAnsi="Arial" w:eastAsia="PingFang SC"/>
          <w:sz w:val="21"/>
        </w:rPr>
        <w:t>《06-现有经营报表截图.png》：当前日报样式与业务人员批注意见。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PingFang SC"/>
        <w:color w:val="667085"/>
        <w:sz w:val="16"/>
      </w:rPr>
      <w:t>FDE流程测试资料（企业、人物与数据均为虚构）</w:t>
    </w:r>
  </w:p>
  <w:p>
    <w:pPr>
      <w:jc w:val="right"/>
    </w:pPr>
    <w:r>
      <w:rPr>
        <w:rFonts w:ascii="Arial" w:hAnsi="Arial" w:eastAsia="PingFang SC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PingFang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2880"/>
    </w:tblGrid>
    <w:tr>
      <w:tc>
        <w:tcPr>
          <w:tcW w:type="dxa" w:w="4896"/>
        </w:tcPr>
        <w:p>
          <w:r>
            <w:rPr>
              <w:rFonts w:ascii="Arial" w:hAnsi="Arial" w:eastAsia="PingFang SC"/>
              <w:b/>
              <w:color w:val="667085"/>
              <w:sz w:val="17"/>
            </w:rPr>
            <w:t>星桥生活电商有限公司｜智能经营分析工作台一期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rial" w:hAnsi="Arial" w:eastAsia="PingFang SC"/>
              <w:color w:val="667085"/>
              <w:sz w:val="17"/>
            </w:rPr>
            <w:t>内部讨论稿 V0.7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47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eastAsia="PingFang SC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星桥生活电商有限公司 - 智能经营分析工作台一期项目需求初稿</dc:title>
  <dc:subject>客户原始需求测试资料</dc:subject>
  <dc:creator>星桥生活电商经营分析中心（模拟）</dc:creator>
  <cp:keywords/>
  <dc:description>FDE流程测试资料（企业、人物与数据均为虚构）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