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0F3CF">
      <w:pPr>
        <w:pStyle w:val="18"/>
      </w:pPr>
      <mc:AlternateContent>
        <mc:Choice Requires="wpsCustomData">
          <wpsCustomData:docfieldStart id="0" docfieldname="标题_1" hidden="0" print="1" readonly="0" index="1"/>
        </mc:Choice>
      </mc:AlternateContent>
      <w:r>
        <w:t>关于建设集团数字员工的方案</w:t>
      </w:r>
      <mc:AlternateContent>
        <mc:Choice Requires="wpsCustomData">
          <wpsCustomData:docfieldEnd id="0"/>
        </mc:Choice>
      </mc:AlternateContent>
    </w:p>
    <w:p w14:paraId="75135FEF">
      <w:pPr>
        <w:pStyle w:val="12"/>
        <w:bidi w:val="0"/>
        <w:spacing w:beforeAutospacing="0" w:after="0" w:afterAutospacing="0" w:line="300" w:lineRule="exact"/>
      </w:pPr>
    </w:p>
    <w:p w14:paraId="6704B837">
      <w:pPr>
        <w:pStyle w:val="2"/>
        <w:numPr>
          <w:ilvl w:val="0"/>
          <w:numId w:val="2"/>
        </w:numPr>
        <w:topLinePunct w:val="0"/>
        <w:ind w:left="0" w:leftChars="0" w:firstLine="640" w:firstLineChars="0"/>
        <w:rPr>
          <w:b w:val="0"/>
          <w:bdr w:val="none" w:sz="0" w:space="0"/>
        </w:rPr>
      </w:pPr>
      <w:r>
        <w:t>数字员工建设目标</w:t>
      </w:r>
    </w:p>
    <w:p w14:paraId="46BA23B7">
      <w:pPr>
        <w:pStyle w:val="3"/>
        <w:numPr>
          <w:ilvl w:val="0"/>
          <w:numId w:val="3"/>
        </w:numPr>
        <w:topLinePunct w:val="0"/>
        <w:ind w:left="0" w:leftChars="0" w:firstLine="640" w:firstLineChars="0"/>
        <w:rPr>
          <w:b w:val="0"/>
          <w:u w:val="single"/>
          <w:bdr w:val="none" w:sz="0" w:space="0"/>
        </w:rPr>
      </w:pPr>
      <w:r>
        <w:t>构建自主可控的基础底座</w:t>
      </w:r>
    </w:p>
    <w:p w14:paraId="3BDA254B">
      <w:pPr>
        <w:pStyle w:val="12"/>
        <w:rPr>
          <w:b w:val="0"/>
          <w:color w:val="auto"/>
        </w:rPr>
      </w:pPr>
      <w:r>
        <w:rPr>
          <w:b w:val="0"/>
          <w:color w:val="auto"/>
        </w:rPr>
        <w:t>通过夯实算力与模型两方面基础，推动构建人工智能坚实底座。在算力端，建设安全高效、绿色集约的统一云底座，实现智算与通算资源的灵活调度；在模型端，坚持“多模态、多模型”的建设原则，构建具备兼容多模态大模型（NLP、CV等）的异构模型纳管能力，确保技术架构的先进性与供应链安全</w:t>
      </w:r>
    </w:p>
    <w:p w14:paraId="3AD594C0">
      <w:pPr>
        <w:pStyle w:val="3"/>
        <w:numPr>
          <w:ilvl w:val="0"/>
          <w:numId w:val="3"/>
        </w:numPr>
        <w:topLinePunct w:val="0"/>
        <w:ind w:left="0" w:leftChars="0" w:firstLine="640" w:firstLineChars="0"/>
        <w:rPr>
          <w:b w:val="0"/>
          <w:bdr w:val="none" w:sz="0" w:space="0"/>
        </w:rPr>
      </w:pPr>
      <w:r>
        <w:t>打造全生命周期统一技术支撑平台</w:t>
      </w:r>
    </w:p>
    <w:p w14:paraId="2EB84FCF">
      <w:pPr>
        <w:pStyle w:val="12"/>
        <w:rPr>
          <w:b w:val="0"/>
          <w:color w:val="auto"/>
        </w:rPr>
      </w:pPr>
      <w:r>
        <w:rPr>
          <w:b w:val="0"/>
          <w:color w:val="auto"/>
        </w:rPr>
        <w:t>构建覆盖智能体“开发、编排、纳管、运营”全流程的统一技术平台，实现技术标准统一、建设规范统一、运维管理统一、资产共享统一。平台支持多租户隔离使用，满足全集团各级次的独立使用需求，有效避免各业务单元在智能化转型过程中的重复建设与资源浪费，保障集团所有AI应用的技术一致性、安全合规性与统一治理水平。</w:t>
      </w:r>
    </w:p>
    <w:p w14:paraId="6FDA8BAB">
      <w:pPr>
        <w:pStyle w:val="3"/>
        <w:numPr>
          <w:ilvl w:val="0"/>
          <w:numId w:val="3"/>
        </w:numPr>
        <w:topLinePunct w:val="0"/>
        <w:ind w:left="0" w:leftChars="0" w:firstLine="640" w:firstLineChars="0"/>
        <w:rPr>
          <w:b w:val="0"/>
          <w:bdr w:val="none" w:sz="0" w:space="0"/>
        </w:rPr>
      </w:pPr>
      <w:r>
        <w:t>降低智能应用开发门槛</w:t>
      </w:r>
    </w:p>
    <w:p w14:paraId="2E2D064C">
      <w:pPr>
        <w:pStyle w:val="12"/>
        <w:rPr>
          <w:b w:val="0"/>
          <w:color w:val="auto"/>
        </w:rPr>
      </w:pPr>
      <w:r>
        <w:rPr>
          <w:b w:val="0"/>
          <w:color w:val="auto"/>
        </w:rPr>
        <w:t>搭建低代码</w:t>
      </w:r>
      <w:r>
        <w:rPr>
          <w:b w:val="0"/>
          <w:color w:val="auto"/>
        </w:rPr>
        <w:t>／</w:t>
      </w:r>
      <w:r>
        <w:rPr>
          <w:b w:val="0"/>
          <w:color w:val="auto"/>
        </w:rPr>
        <w:t>零代码可视化开发环境，打破技术壁垒，赋能业务人员与技术人员协同参与智能体构建。无论是研发技术人员还是业务人员，均可借助简易的界面化操作快速开发应用，缩短从需求提出到应用落地的周期，推动AI技术在以经营管理为代表的各个领域广泛普及与深度应用。</w:t>
      </w:r>
    </w:p>
    <w:p w14:paraId="10577019">
      <w:pPr>
        <w:pStyle w:val="3"/>
        <w:numPr>
          <w:ilvl w:val="0"/>
          <w:numId w:val="3"/>
        </w:numPr>
        <w:topLinePunct w:val="0"/>
        <w:ind w:left="0" w:leftChars="0" w:firstLine="640" w:firstLineChars="0"/>
        <w:rPr>
          <w:b w:val="0"/>
          <w:bdr w:val="none" w:sz="0" w:space="0"/>
        </w:rPr>
      </w:pPr>
      <w:r>
        <w:t>打破数据与应用孤岛</w:t>
      </w:r>
    </w:p>
    <w:p w14:paraId="0574246F">
      <w:pPr>
        <w:pStyle w:val="12"/>
        <w:rPr>
          <w:b w:val="0"/>
          <w:color w:val="auto"/>
        </w:rPr>
      </w:pPr>
      <w:r>
        <w:rPr>
          <w:b w:val="0"/>
          <w:color w:val="auto"/>
        </w:rPr>
        <w:t>通过增强型检索生成（RAG）能力盘活集团存量知识资产，整合港口安全、生产、设备等结构化和非结构化多源异构数据；同时支持第三方智能体接入纳管，实现不同系统、不同类型智能能力的协同联动。平台可调用自研的PortGPT模型以及DeepSeekR1、盘古、千问等第三方大模型能力，集成外部系统插件与知识库，完成智能体业务处理并通过API向应用开放，最大化发挥数据与技术价值。</w:t>
      </w:r>
    </w:p>
    <w:p w14:paraId="53A67663">
      <w:pPr>
        <w:pStyle w:val="3"/>
        <w:numPr>
          <w:ilvl w:val="0"/>
          <w:numId w:val="3"/>
        </w:numPr>
        <w:topLinePunct w:val="0"/>
        <w:ind w:left="0" w:leftChars="0" w:firstLine="640" w:firstLineChars="0"/>
        <w:rPr>
          <w:b w:val="0"/>
          <w:bdr w:val="none" w:sz="0" w:space="0"/>
        </w:rPr>
      </w:pPr>
      <w:r>
        <w:t>构建开放共享的智能生态</w:t>
      </w:r>
    </w:p>
    <w:p w14:paraId="3418996B">
      <w:pPr>
        <w:pStyle w:val="12"/>
        <w:rPr>
          <w:b w:val="0"/>
          <w:color w:val="auto"/>
        </w:rPr>
      </w:pPr>
      <w:r>
        <w:rPr>
          <w:b w:val="0"/>
          <w:color w:val="auto"/>
        </w:rPr>
        <w:t>建立标准化的能力输出与共享机制，鼓励全集团各级次的各个主管部门沉淀优质智能体、知识库及工具插件，促进跨领域能力复用与创新组合。在完成平台能力建设、Agent开发体系搭建及模型调优等赋能工作后，积极构建集团自主开发、运维及优化Agent的能力，并逐步将相关能力推广至各业务领域，形成“一点建设、多点使用”的良性循环，提升集团整体智能化水平，为港口业务高质量发展提供持续动力。</w:t>
      </w:r>
    </w:p>
    <w:p w14:paraId="2EC27577">
      <w:pPr>
        <w:pStyle w:val="3"/>
        <w:numPr>
          <w:ilvl w:val="0"/>
          <w:numId w:val="3"/>
        </w:numPr>
        <w:topLinePunct w:val="0"/>
        <w:ind w:left="0" w:leftChars="0" w:firstLine="640" w:firstLineChars="0"/>
        <w:rPr>
          <w:b w:val="0"/>
          <w:bdr w:val="none" w:sz="0" w:space="0"/>
        </w:rPr>
      </w:pPr>
      <w:r>
        <w:t>推动数字员工规模化应用</w:t>
      </w:r>
    </w:p>
    <w:p w14:paraId="752116AA">
      <w:pPr>
        <w:pStyle w:val="12"/>
        <w:rPr>
          <w:b w:val="0"/>
          <w:color w:val="auto"/>
        </w:rPr>
      </w:pPr>
      <w:r>
        <w:rPr>
          <w:b w:val="0"/>
          <w:color w:val="auto"/>
        </w:rPr>
        <w:t>根据“有规则、有数量、有质量、有创新、有效益”的建设原则，依托自主可控的算力底座与统一智能体平台，构建“一岗一助手”的人机协同新生态。一方面聚焦通用提效，打造统一交互门户，积极推广“问一问、查一查”等开箱即用功能，以此重塑全员办公体验；另一方面深耕专业赋能，于生产调度、经营分析、安全管控等核心场景，构建具备逻辑推理与自主执行能力的专业数字员工。</w:t>
      </w:r>
    </w:p>
    <w:p w14:paraId="1332D5FD">
      <w:pPr>
        <w:pStyle w:val="2"/>
        <w:numPr>
          <w:ilvl w:val="0"/>
          <w:numId w:val="2"/>
        </w:numPr>
        <w:topLinePunct w:val="0"/>
        <w:ind w:left="0" w:leftChars="0" w:firstLine="640" w:firstLineChars="0"/>
        <w:rPr>
          <w:b w:val="0"/>
          <w:bdr w:val="none" w:sz="0" w:space="0"/>
        </w:rPr>
      </w:pPr>
      <w:r>
        <w:t>算力层建设方案</w:t>
      </w:r>
    </w:p>
    <w:p w14:paraId="76F978E9">
      <w:pPr>
        <w:pStyle w:val="12"/>
        <w:rPr>
          <w:b w:val="0"/>
          <w:color w:val="auto"/>
        </w:rPr>
      </w:pPr>
      <w:r>
        <w:rPr>
          <w:b w:val="0"/>
          <w:color w:val="auto"/>
        </w:rPr>
        <w:t>天津港数字员工智能体建设构建统一的硬件平台，采用“集约高效，按需扩容”建设原则，预计整个“十五五”期间规划建设至少100P Flops（FP16）算力规模的AI计算集群，满足全集团大模型应用推理资源需求，支持天津港千亿级参数大模型训练能力。大模型资源池设计基于国产昇腾AI全栈国产化基础软硬件平台的CANN全栈解决方案，包括昇思MindSpore框架、MindX系列开发套件及后续增加建设模型资源管理和模型开发平台。搭建一站式的人工智能开发平台，支持大模型的开发、训练和推理。通过提供丰富的算法库和工具链，降低AI应用的开发门槛，加速港口智能化应用的落地。</w:t>
      </w:r>
    </w:p>
    <w:p w14:paraId="66DFB397">
      <w:pPr>
        <w:pStyle w:val="3"/>
        <w:numPr>
          <w:ilvl w:val="0"/>
          <w:numId w:val="4"/>
        </w:numPr>
        <w:topLinePunct w:val="0"/>
        <w:ind w:left="0" w:leftChars="0" w:firstLine="640" w:firstLineChars="0"/>
        <w:rPr>
          <w:b w:val="0"/>
          <w:bdr w:val="none" w:sz="0" w:space="0"/>
        </w:rPr>
      </w:pPr>
      <w:r>
        <w:t>通算建设</w:t>
      </w:r>
    </w:p>
    <w:p w14:paraId="35603E0F">
      <w:pPr>
        <w:pStyle w:val="12"/>
        <w:rPr>
          <w:b w:val="0"/>
          <w:color w:val="auto"/>
        </w:rPr>
      </w:pPr>
      <w:r>
        <w:rPr>
          <w:b w:val="0"/>
          <w:color w:val="auto"/>
        </w:rPr>
        <w:t>天津港数字员工智能体基础平台通用算力采用租赁信息公司通算资源的模式，其核心在于搭建一套以“弹性调度、按需适配”为核心的通用算力供给体系，该体系完全围绕灵活租赁的特性设计落地路径。</w:t>
      </w:r>
    </w:p>
    <w:p w14:paraId="640B5DCA">
      <w:pPr>
        <w:pStyle w:val="12"/>
        <w:rPr>
          <w:b w:val="0"/>
          <w:color w:val="auto"/>
        </w:rPr>
      </w:pPr>
      <w:r>
        <w:rPr>
          <w:b w:val="0"/>
          <w:color w:val="auto"/>
        </w:rPr>
        <w:t>平台将与信息公司的绿色低碳算力中心建立深度合作，在确保网络安全策略互通的前提下，依托其云平台技术</w:t>
      </w:r>
      <w:r>
        <w:rPr>
          <w:b w:val="0"/>
          <w:color w:val="auto"/>
        </w:rPr>
        <w:t>，搭建数字员工智能化通用算力资源池。通过租赁云平台，快速地实现数字员工智能体所需的服务器、网络、存储、安全、云计算、大数据等资源需求，实现数字员工智能体的各业务模块实时监控。</w:t>
      </w:r>
    </w:p>
    <w:p w14:paraId="4B73B981">
      <w:pPr>
        <w:pStyle w:val="4"/>
        <w:numPr>
          <w:ilvl w:val="0"/>
          <w:numId w:val="5"/>
        </w:numPr>
        <w:topLinePunct w:val="0"/>
        <w:ind w:left="0" w:leftChars="0" w:firstLine="640" w:firstLineChars="0"/>
        <w:rPr>
          <w:b w:val="0"/>
          <w:bdr w:val="none" w:sz="0" w:space="0"/>
        </w:rPr>
      </w:pPr>
      <w:r>
        <w:t>资源适配的精准灵活性</w:t>
      </w:r>
    </w:p>
    <w:p w14:paraId="724014FF">
      <w:pPr>
        <w:pStyle w:val="12"/>
        <w:rPr>
          <w:b w:val="0"/>
          <w:color w:val="auto"/>
        </w:rPr>
      </w:pPr>
      <w:r>
        <w:rPr>
          <w:b w:val="0"/>
          <w:color w:val="auto"/>
        </w:rPr>
        <w:t>数字员工智能体在天津港的应用场景覆盖业务全流程，不同场景对算力资源的需求差异显著，而灵活租赁模式可实现算力与业务需求的精准匹配。</w:t>
      </w:r>
    </w:p>
    <w:p w14:paraId="27CB74E8">
      <w:pPr>
        <w:pStyle w:val="12"/>
        <w:rPr>
          <w:b w:val="0"/>
          <w:color w:val="auto"/>
        </w:rPr>
      </w:pPr>
      <w:r>
        <w:rPr>
          <w:b w:val="0"/>
          <w:color w:val="auto"/>
        </w:rPr>
        <w:t>数字员工智能体主要完成规则化、标准化的工作，对算力的要求以稳定性和通用性为主，平台可租赁基础云服务器资源，以低成本支撑业务运行，避免资源闲置造成的浪费；在港口物流数据多维度统计分析场景，数字员工智能体需要处理海量结构化与非结构化数据，进行复杂的关联分析与趋势预测，此时平台可快速切换至分布式存储集群与通用计算节点的组合资源，利用分布式计算能力将数据处理效率提升数倍。</w:t>
      </w:r>
    </w:p>
    <w:p w14:paraId="4350AF17">
      <w:pPr>
        <w:pStyle w:val="4"/>
        <w:numPr>
          <w:ilvl w:val="0"/>
          <w:numId w:val="5"/>
        </w:numPr>
        <w:topLinePunct w:val="0"/>
        <w:ind w:left="0" w:leftChars="0" w:firstLine="640" w:firstLineChars="0"/>
        <w:rPr>
          <w:b w:val="0"/>
          <w:bdr w:val="none" w:sz="0" w:space="0"/>
        </w:rPr>
      </w:pPr>
      <w:r>
        <w:t>成本控制的动态灵活性</w:t>
      </w:r>
    </w:p>
    <w:p w14:paraId="3B279348">
      <w:pPr>
        <w:pStyle w:val="12"/>
        <w:rPr>
          <w:b w:val="0"/>
          <w:color w:val="auto"/>
        </w:rPr>
      </w:pPr>
      <w:r>
        <w:rPr>
          <w:b w:val="0"/>
          <w:color w:val="auto"/>
        </w:rPr>
        <w:t>传统自有算力中心模式下，需要一次性投入巨额资金购置硬件、建设机房、配备运维团队，这些成本一旦投入便成为固定开支，无论业务如何变化都需持续承担。租赁信息公司采用按需付费机制，平台仅需根据实际使用的算力资源量、时长和类型支付费用。</w:t>
      </w:r>
    </w:p>
    <w:p w14:paraId="4BF665E9">
      <w:pPr>
        <w:pStyle w:val="12"/>
        <w:rPr>
          <w:b w:val="0"/>
          <w:color w:val="auto"/>
        </w:rPr>
      </w:pPr>
      <w:r>
        <w:rPr>
          <w:b w:val="0"/>
          <w:color w:val="auto"/>
        </w:rPr>
        <w:t>天津港可根据数字员工智能体的开发进度、业务拓展计划、功能迭代需求等，灵活调整算力租赁策略</w:t>
      </w:r>
      <w:r>
        <w:rPr>
          <w:b w:val="0"/>
          <w:color w:val="auto"/>
        </w:rPr>
        <w:t>，</w:t>
      </w:r>
      <w:r>
        <w:rPr>
          <w:b w:val="0"/>
          <w:color w:val="auto"/>
        </w:rPr>
        <w:t>智能体功能测试阶段，仅需租赁少量基础算力资源即可完成功能验证与优化，大幅降低测试成本；在新业务模块上线初期，可逐步增加算力租赁规模，根据业务实际运行数据再进行精准调整，避免盲目投入；部分业务模块进入稳定运行期后，可通过调度中台识别并释放冗余算力资源，进一步压缩成本。此外，平台还可根据不同业务场景的特点，灵活选择按时长计费、按算力峰值计费、按时段折扣等多种计费方式，实现成本与效益的最优平衡。</w:t>
      </w:r>
    </w:p>
    <w:p w14:paraId="7C865179">
      <w:pPr>
        <w:pStyle w:val="4"/>
        <w:numPr>
          <w:ilvl w:val="0"/>
          <w:numId w:val="5"/>
        </w:numPr>
        <w:topLinePunct w:val="0"/>
        <w:ind w:left="0" w:leftChars="0" w:firstLine="640" w:firstLineChars="0"/>
        <w:rPr>
          <w:b w:val="0"/>
          <w:bdr w:val="none" w:sz="0" w:space="0"/>
        </w:rPr>
      </w:pPr>
      <w:r>
        <w:t>技术迭代的适配灵活性</w:t>
      </w:r>
    </w:p>
    <w:p w14:paraId="6FE249F8">
      <w:pPr>
        <w:pStyle w:val="12"/>
        <w:rPr>
          <w:b w:val="0"/>
          <w:color w:val="auto"/>
        </w:rPr>
      </w:pPr>
      <w:r>
        <w:rPr>
          <w:b w:val="0"/>
          <w:color w:val="auto"/>
        </w:rPr>
        <w:t>随着港口智能化建设的推进，数字员工智能体的技术架构与功能需求会持续迭代升级，灵活租赁模式能够完美适配这种变化，为智能体的持续优化提供算力支撑。</w:t>
      </w:r>
    </w:p>
    <w:p w14:paraId="4E432699">
      <w:pPr>
        <w:pStyle w:val="12"/>
        <w:rPr>
          <w:b w:val="0"/>
          <w:color w:val="auto"/>
        </w:rPr>
      </w:pPr>
      <w:r>
        <w:rPr>
          <w:b w:val="0"/>
          <w:color w:val="auto"/>
        </w:rPr>
        <w:t>当数字员工智能体引入新的业务算法，例如更复杂的自然语言处理模型、多维度数据关联分析算法时，其对算力的并行处理能力、内存容量等要求会相应提升，平台能够快速租赁具备更高配置的通用计算节点资源，以满足新算法的运行需求，无需对自有算力硬件进行升级改造，从而节省了硬件采购、安装调试的时间和成本。</w:t>
      </w:r>
    </w:p>
    <w:p w14:paraId="29D41AB9">
      <w:pPr>
        <w:pStyle w:val="12"/>
        <w:rPr>
          <w:b w:val="0"/>
          <w:color w:val="auto"/>
        </w:rPr>
      </w:pPr>
      <w:r>
        <w:rPr>
          <w:b w:val="0"/>
          <w:color w:val="auto"/>
        </w:rPr>
        <w:t>同时，信息公司会持续更新算力资源的硬件配置与云平台版本，平台能够通过灵活租赁随时接入最新的算力技术，确保数字员工智能体始终运行在先进的云平台环境中，持续提升其智能化水平和业务处理能力。</w:t>
      </w:r>
    </w:p>
    <w:p w14:paraId="501F7FA6">
      <w:pPr>
        <w:pStyle w:val="4"/>
        <w:numPr>
          <w:ilvl w:val="0"/>
          <w:numId w:val="5"/>
        </w:numPr>
        <w:topLinePunct w:val="0"/>
        <w:ind w:left="0" w:leftChars="0" w:firstLine="640" w:firstLineChars="0"/>
        <w:rPr>
          <w:b w:val="0"/>
          <w:bdr w:val="none" w:sz="0" w:space="0"/>
        </w:rPr>
      </w:pPr>
      <w:r>
        <w:t>运维管理的高效灵活性</w:t>
      </w:r>
    </w:p>
    <w:p w14:paraId="4959BA35">
      <w:pPr>
        <w:pStyle w:val="12"/>
        <w:rPr>
          <w:b w:val="0"/>
          <w:color w:val="auto"/>
        </w:rPr>
      </w:pPr>
      <w:r>
        <w:rPr>
          <w:b w:val="0"/>
          <w:color w:val="auto"/>
        </w:rPr>
        <w:t>在传统自有算力中心模式下，企业需配备专业的运维团队，负责硬件设备的日常维护、机房环境管理、软件系统升级与故障排查等工作，运维成本高且管理难度大。而在灵活租赁模式下，算力资源的硬件维护、机房环境管理、硬件故障修复等工作均由信息公司承担，平台运维团队只需专注于数字员工智能体的业务运维与算力调度管理，将精力集中在核心业务优化上。</w:t>
      </w:r>
    </w:p>
    <w:p w14:paraId="637D8AD4">
      <w:pPr>
        <w:pStyle w:val="12"/>
        <w:rPr>
          <w:b w:val="0"/>
          <w:color w:val="auto"/>
        </w:rPr>
      </w:pPr>
      <w:r>
        <w:rPr>
          <w:b w:val="0"/>
          <w:color w:val="auto"/>
        </w:rPr>
        <w:t>此外，信息公司提供了完善的运维管理后台，平台运维人员可通过该后台实时监控算力资源的运行状态、使用情况、负载变化等信息，进行远程算力调整与故障排查。当算力资源出现故障时，信息公司会在数分钟内调配备用资源完成切换，保障数字员工智能体的业务连续性，这种高效的运维响应能力，为平台的稳定运行提供了坚实保障。</w:t>
      </w:r>
    </w:p>
    <w:p w14:paraId="2EF99746">
      <w:pPr>
        <w:pStyle w:val="12"/>
        <w:rPr>
          <w:b w:val="0"/>
          <w:i/>
          <w:color w:val="auto"/>
          <w:u w:val="single"/>
        </w:rPr>
      </w:pPr>
      <w:r>
        <w:rPr>
          <w:b w:val="0"/>
          <w:color w:val="auto"/>
        </w:rPr>
        <w:t>当前，为支撑数字员工平台及各类应用的稳定运行，信息公司正在采购并推动绿色低碳算力中心大模型项目扩容，针对数字员工智能体大模型需求，扩充部署云管理节点及计算节点，现阶段持续推动vCPU的计算能力部署工作，满足智能体平台及初期数字员工应用的建设需求。后续通过资源租赁方式，建立按照应用场景灵活扩容的机制，根据资源需求，提前推动信息公司启动前瞻性采购工作。</w:t>
      </w:r>
    </w:p>
    <w:p w14:paraId="44A2A9E6">
      <w:pPr>
        <w:pStyle w:val="3"/>
        <w:numPr>
          <w:ilvl w:val="0"/>
          <w:numId w:val="4"/>
        </w:numPr>
        <w:topLinePunct w:val="0"/>
        <w:ind w:left="0" w:leftChars="0" w:firstLine="640" w:firstLineChars="0"/>
        <w:rPr>
          <w:b w:val="0"/>
          <w:bdr w:val="none" w:sz="0" w:space="0"/>
        </w:rPr>
      </w:pPr>
      <w:r>
        <w:t>智算建设</w:t>
      </w:r>
    </w:p>
    <w:p w14:paraId="4E4E66D0">
      <w:pPr>
        <w:pStyle w:val="12"/>
        <w:rPr>
          <w:b w:val="0"/>
          <w:color w:val="auto"/>
        </w:rPr>
      </w:pPr>
      <w:r>
        <w:rPr>
          <w:b w:val="0"/>
          <w:color w:val="auto"/>
        </w:rPr>
        <w:t>大模型智算算力重点支撑DeepSeek、通义千问、盘古等主流大模型的本地化部署与推理，同时支持Minimax语音模型及Embedding向量模型。针对不同业务场景，支持“满血版”（高精度）与“蒸馏版</w:t>
      </w:r>
      <w:r>
        <w:rPr>
          <w:b w:val="0"/>
          <w:color w:val="auto"/>
        </w:rPr>
        <w:t>／</w:t>
      </w:r>
      <w:r>
        <w:rPr>
          <w:b w:val="0"/>
          <w:color w:val="auto"/>
        </w:rPr>
        <w:t>小参数版”（如部署QwenVL32B版本多模态模型的支持高响应速度推理）模型的差异化部署，在算力消耗与服务体验之间取得效能平衡。</w:t>
      </w:r>
    </w:p>
    <w:p w14:paraId="70562E72">
      <w:pPr>
        <w:pStyle w:val="4"/>
        <w:numPr>
          <w:ilvl w:val="0"/>
          <w:numId w:val="6"/>
        </w:numPr>
        <w:topLinePunct w:val="0"/>
        <w:ind w:left="0" w:leftChars="0" w:firstLine="640" w:firstLineChars="0"/>
        <w:rPr>
          <w:b w:val="0"/>
          <w:bdr w:val="none" w:sz="0" w:space="0"/>
        </w:rPr>
      </w:pPr>
      <w:r>
        <w:t>由集团统一采购智算服务器</w:t>
      </w:r>
    </w:p>
    <w:p w14:paraId="712DA21B">
      <w:pPr>
        <w:pStyle w:val="12"/>
        <w:rPr>
          <w:b w:val="0"/>
          <w:color w:val="auto"/>
        </w:rPr>
      </w:pPr>
      <w:r>
        <w:rPr>
          <w:b w:val="0"/>
          <w:color w:val="auto"/>
        </w:rPr>
        <w:t>智算建设由集团按照相关招投标法律法规及集团内部采购制度，每年按需进行申报预算和采购。采购范围涵盖具备全栈自主可控高性能计算能力的大模型服务器设备，能够适配主流大模型的运行需求，具备强大的并行计算、内存扩展及数据存储能力，确保采购大模型服务器设备能够满足天津港未来3—5年的大模型算力增长需求。同时，采购的服务器设备须符合国家及行业相关的安全标准，具备完善的数据加密、访问控制等安全防护功能，保障港口业务数据的安全。</w:t>
      </w:r>
    </w:p>
    <w:p w14:paraId="608694AA">
      <w:pPr>
        <w:pStyle w:val="4"/>
        <w:numPr>
          <w:ilvl w:val="0"/>
          <w:numId w:val="6"/>
        </w:numPr>
        <w:topLinePunct w:val="0"/>
        <w:ind w:left="0" w:leftChars="0" w:firstLine="640" w:firstLineChars="0"/>
        <w:rPr>
          <w:b w:val="0"/>
          <w:bdr w:val="none" w:sz="0" w:space="0"/>
        </w:rPr>
      </w:pPr>
      <w:r>
        <w:t>智算服务器资源扩充至云计算平台</w:t>
      </w:r>
    </w:p>
    <w:p w14:paraId="3B8F0064">
      <w:pPr>
        <w:pStyle w:val="12"/>
        <w:rPr>
          <w:b w:val="0"/>
          <w:color w:val="auto"/>
        </w:rPr>
      </w:pPr>
      <w:r>
        <w:rPr>
          <w:b w:val="0"/>
          <w:color w:val="auto"/>
        </w:rPr>
        <w:t>借助绿色低碳算力中心建设的智算资源与模型统一推理管理平台，集团联合信息公司、软件制造商，将智算大模型服务器资源统一扩充至天津港云计算平台。同时通过搭建高速、稳定的网络连接，实现新采购大模型服务器与现有云计算平台的无缝对接，确保算力资源的高效整合。</w:t>
      </w:r>
    </w:p>
    <w:p w14:paraId="6960E224">
      <w:pPr>
        <w:pStyle w:val="4"/>
        <w:numPr>
          <w:ilvl w:val="0"/>
          <w:numId w:val="6"/>
        </w:numPr>
        <w:topLinePunct w:val="0"/>
        <w:ind w:left="0" w:leftChars="0" w:firstLine="640" w:firstLineChars="0"/>
        <w:rPr>
          <w:b w:val="0"/>
          <w:bdr w:val="none" w:sz="0" w:space="0"/>
        </w:rPr>
      </w:pPr>
      <w:r>
        <w:t>模型和算力调度平台统一管理</w:t>
      </w:r>
    </w:p>
    <w:p w14:paraId="71DABCD1">
      <w:pPr>
        <w:pStyle w:val="12"/>
        <w:rPr>
          <w:b w:val="0"/>
          <w:color w:val="auto"/>
        </w:rPr>
      </w:pPr>
      <w:r>
        <w:rPr>
          <w:b w:val="0"/>
          <w:color w:val="auto"/>
        </w:rPr>
        <w:t>算力资源统一管理：依托模型与算力调度平台，实现对智算大模型服务器算力资源的全生命周期管理。平台将对服务器的算力使用情况、运行状态、资源负载等信息进行实时监控与统计分析，通过可视化界面展示算力资源的整体使用情况。同时，平台具备算力纳管、算力池化、算力调度等功能，能够根据业务需求动态分配算力资源，实现算力的弹性调度。</w:t>
      </w:r>
    </w:p>
    <w:p w14:paraId="7CED22F8">
      <w:pPr>
        <w:pStyle w:val="12"/>
        <w:rPr>
          <w:b w:val="0"/>
          <w:color w:val="auto"/>
        </w:rPr>
      </w:pPr>
      <w:r>
        <w:rPr>
          <w:b w:val="0"/>
          <w:color w:val="auto"/>
        </w:rPr>
        <w:t>主流大模型统一管理：将业界主流大模型（如DeepSeek、通义千问、盘古等）接入模型和算力调度平台，实现对大模型的统一部署、更新、维护与监控。平台为大模型提供标准化的运行环境，支持大模型的快速部署与上线，同时具备模型版本管理功能，能够对大模型的不同版本进行有效管理，方便业务场景根据需求切换模型版本。在模型运行过程中，平台实时监控大模型的运行状态、推理性能及资源消耗情况，当大模型出现故障或性能下降时，及时发出预警并自动启动备用模型或进行故障排查。</w:t>
      </w:r>
    </w:p>
    <w:p w14:paraId="3980EC25">
      <w:pPr>
        <w:pStyle w:val="4"/>
        <w:numPr>
          <w:ilvl w:val="0"/>
          <w:numId w:val="6"/>
        </w:numPr>
        <w:topLinePunct w:val="0"/>
        <w:ind w:left="0" w:leftChars="0" w:firstLine="640" w:firstLineChars="0"/>
        <w:rPr>
          <w:b w:val="0"/>
          <w:bdr w:val="none" w:sz="0" w:space="0"/>
        </w:rPr>
      </w:pPr>
      <w:r>
        <w:t>未来需求与功能规划</w:t>
      </w:r>
    </w:p>
    <w:p w14:paraId="21F00E7A">
      <w:pPr>
        <w:pStyle w:val="12"/>
        <w:rPr>
          <w:b w:val="0"/>
          <w:color w:val="auto"/>
        </w:rPr>
      </w:pPr>
      <w:r>
        <w:rPr>
          <w:b w:val="0"/>
          <w:color w:val="auto"/>
        </w:rPr>
        <w:t>算力池化与集群管理：建设智算资源云管平台，实现全集团算力资源的集中纳管。打破硬件物理边界，实现GPU</w:t>
      </w:r>
      <w:r>
        <w:rPr>
          <w:b w:val="0"/>
          <w:color w:val="auto"/>
        </w:rPr>
        <w:t>／</w:t>
      </w:r>
      <w:r>
        <w:rPr>
          <w:b w:val="0"/>
          <w:color w:val="auto"/>
        </w:rPr>
        <w:t>NPU等异构算力的池化管理与统一调度，提高资源利用率。</w:t>
      </w:r>
    </w:p>
    <w:p w14:paraId="1168194B">
      <w:pPr>
        <w:pStyle w:val="12"/>
        <w:rPr>
          <w:b w:val="0"/>
          <w:color w:val="auto"/>
        </w:rPr>
      </w:pPr>
      <w:r>
        <w:rPr>
          <w:b w:val="0"/>
          <w:color w:val="auto"/>
        </w:rPr>
        <w:t>弹性伸缩与异构兼容：未来的算力架构须具备根据业务负载动态调整资源的能力。随着数字员工数量增加，需持续评估推理算力缺口，支持国产化芯片（如华为昇腾）与主流GPU的混合部署，确保算力供应的连续性与安全性。当前业界主流平台支持国产昇腾NPU和英伟达NPU，国内其他品牌NPU和GPU需要通过需求进行需求申请，逐步适配。</w:t>
      </w:r>
    </w:p>
    <w:p w14:paraId="2B8439E1">
      <w:pPr>
        <w:pStyle w:val="2"/>
        <w:numPr>
          <w:ilvl w:val="0"/>
          <w:numId w:val="2"/>
        </w:numPr>
        <w:topLinePunct w:val="0"/>
        <w:ind w:left="0" w:leftChars="0" w:firstLine="640" w:firstLineChars="0"/>
        <w:rPr>
          <w:b w:val="0"/>
          <w:bdr w:val="none" w:sz="0" w:space="0"/>
        </w:rPr>
      </w:pPr>
      <w:r>
        <w:t>模型层建设方案</w:t>
      </w:r>
    </w:p>
    <w:p w14:paraId="0AAD3233">
      <w:pPr>
        <w:pStyle w:val="12"/>
        <w:rPr>
          <w:b w:val="0"/>
          <w:color w:val="auto"/>
        </w:rPr>
      </w:pPr>
      <w:r>
        <w:rPr>
          <w:b w:val="0"/>
          <w:color w:val="auto"/>
        </w:rPr>
        <w:t>按照多模兼容、灵活择优的原则，模型层核心建设策略为“多模型、多模态”，通过模型即服务（MaaS）架构，将成熟模型按照推理需求封装成高效的服务，向全集团提供灵活、高效的模型支撑能力。</w:t>
      </w:r>
    </w:p>
    <w:p w14:paraId="316B909E">
      <w:pPr>
        <w:pStyle w:val="3"/>
        <w:numPr>
          <w:ilvl w:val="0"/>
          <w:numId w:val="7"/>
        </w:numPr>
        <w:topLinePunct w:val="0"/>
        <w:ind w:left="0" w:leftChars="0" w:firstLine="640" w:firstLineChars="0"/>
        <w:rPr>
          <w:b w:val="0"/>
          <w:bdr w:val="none" w:sz="0" w:space="0"/>
        </w:rPr>
      </w:pPr>
      <w:r>
        <w:t>多模型与多模态纳管</w:t>
      </w:r>
    </w:p>
    <w:p w14:paraId="0697B8D2">
      <w:pPr>
        <w:pStyle w:val="12"/>
        <w:rPr>
          <w:b w:val="0"/>
          <w:color w:val="auto"/>
        </w:rPr>
      </w:pPr>
      <w:r>
        <w:rPr>
          <w:b w:val="0"/>
          <w:color w:val="auto"/>
        </w:rPr>
        <w:t>平台支持异构模型纳管，实现满血版大模型、量化版模型以及小参数专用模型的按需部署、快速调用、混合编排，支撑文本生成、图像识别、数据预测等多样化数字员工智能体需求。</w:t>
      </w:r>
    </w:p>
    <w:p w14:paraId="059A0558">
      <w:pPr>
        <w:pStyle w:val="4"/>
        <w:numPr>
          <w:ilvl w:val="0"/>
          <w:numId w:val="8"/>
        </w:numPr>
        <w:topLinePunct w:val="0"/>
        <w:ind w:left="0" w:leftChars="0" w:firstLine="640" w:firstLineChars="0"/>
        <w:rPr>
          <w:b w:val="0"/>
          <w:bdr w:val="none" w:sz="0" w:space="0"/>
        </w:rPr>
      </w:pPr>
      <w:r>
        <w:t>主流大模型纳管</w:t>
      </w:r>
    </w:p>
    <w:p w14:paraId="00CBA52A">
      <w:pPr>
        <w:pStyle w:val="12"/>
        <w:rPr>
          <w:b w:val="0"/>
          <w:color w:val="auto"/>
        </w:rPr>
      </w:pPr>
      <w:r>
        <w:rPr>
          <w:b w:val="0"/>
          <w:color w:val="auto"/>
        </w:rPr>
        <w:t>支持DeepSeek、华为盘古、通义千问、PortGPT等主流大模型的本地化部署与API接入。针对不同业务场景，支持“满血版”（高参数量、高智能）与“蒸馏版</w:t>
      </w:r>
      <w:r>
        <w:rPr>
          <w:b w:val="0"/>
          <w:color w:val="auto"/>
        </w:rPr>
        <w:t>／</w:t>
      </w:r>
      <w:r>
        <w:rPr>
          <w:b w:val="0"/>
          <w:color w:val="auto"/>
        </w:rPr>
        <w:t>轻量版”（如7B</w:t>
      </w:r>
      <w:r>
        <w:rPr>
          <w:b w:val="0"/>
          <w:color w:val="auto"/>
        </w:rPr>
        <w:t>／</w:t>
      </w:r>
      <w:r>
        <w:rPr>
          <w:b w:val="0"/>
          <w:color w:val="auto"/>
        </w:rPr>
        <w:t>32B版本、高响应速度）模型的差异化配置，在算力成本与服务体验之间取得平衡。</w:t>
      </w:r>
    </w:p>
    <w:p w14:paraId="1F8BE578">
      <w:pPr>
        <w:pStyle w:val="4"/>
        <w:numPr>
          <w:ilvl w:val="0"/>
          <w:numId w:val="8"/>
        </w:numPr>
        <w:topLinePunct w:val="0"/>
        <w:ind w:left="0" w:leftChars="0" w:firstLine="640" w:firstLineChars="0"/>
        <w:rPr>
          <w:b w:val="0"/>
          <w:bdr w:val="none" w:sz="0" w:space="0"/>
        </w:rPr>
      </w:pPr>
      <w:r>
        <w:t>存量专用模型集成</w:t>
      </w:r>
    </w:p>
    <w:p w14:paraId="54EF02B0">
      <w:pPr>
        <w:pStyle w:val="12"/>
        <w:rPr>
          <w:b w:val="0"/>
          <w:color w:val="auto"/>
        </w:rPr>
      </w:pPr>
      <w:r>
        <w:rPr>
          <w:b w:val="0"/>
          <w:color w:val="auto"/>
        </w:rPr>
        <w:t>支持多模态能力，覆盖自然语言处理（NLP）、视觉多模态（VL）、预测大模型等。重点建立对集团整体AI资产（集团已部署模型）的“接口级”纳管能力。平台需能够封装外部独立运行的大模型推理结果，将其标准化为组件或工具，供上层智能体调用。</w:t>
      </w:r>
    </w:p>
    <w:p w14:paraId="7046F3F6">
      <w:pPr>
        <w:pStyle w:val="4"/>
        <w:numPr>
          <w:ilvl w:val="0"/>
          <w:numId w:val="8"/>
        </w:numPr>
        <w:topLinePunct w:val="0"/>
        <w:ind w:left="0" w:leftChars="0" w:firstLine="640" w:firstLineChars="0"/>
        <w:rPr>
          <w:b w:val="0"/>
          <w:bdr w:val="none" w:sz="0" w:space="0"/>
        </w:rPr>
      </w:pPr>
      <w:r>
        <w:t>快速验证与择优部署</w:t>
      </w:r>
    </w:p>
    <w:p w14:paraId="4BE6E6CD">
      <w:pPr>
        <w:pStyle w:val="12"/>
        <w:rPr>
          <w:b w:val="0"/>
          <w:color w:val="auto"/>
        </w:rPr>
      </w:pPr>
      <w:r>
        <w:rPr>
          <w:b w:val="0"/>
          <w:color w:val="auto"/>
        </w:rPr>
        <w:t>建立新模型快速接入机制。随着开源社区或厂商发布新一代模型（如DeepSeek R2等主流模型），算力和模型推理管理平台应能在一定时间内，完成适配与验证。</w:t>
      </w:r>
    </w:p>
    <w:p w14:paraId="743136F0">
      <w:pPr>
        <w:pStyle w:val="12"/>
        <w:rPr>
          <w:b w:val="0"/>
          <w:color w:val="auto"/>
        </w:rPr>
      </w:pPr>
      <w:r>
        <w:rPr>
          <w:b w:val="0"/>
          <w:color w:val="auto"/>
        </w:rPr>
        <w:t>后续可实现支持多版本共存，通过云平台逐步叠加新的组件，预计27年增加新的云组件，实现根据实际业务场景的效果评测（准确率、响应速度），灵活切换或择优选用最适合的模型，实现模型能力的持续迭代。</w:t>
      </w:r>
    </w:p>
    <w:p w14:paraId="37AB7810">
      <w:pPr>
        <w:pStyle w:val="3"/>
        <w:numPr>
          <w:ilvl w:val="0"/>
          <w:numId w:val="7"/>
        </w:numPr>
        <w:topLinePunct w:val="0"/>
        <w:ind w:left="0" w:leftChars="0" w:firstLine="640" w:firstLineChars="0"/>
        <w:rPr>
          <w:b w:val="0"/>
          <w:bdr w:val="none" w:sz="0" w:space="0"/>
        </w:rPr>
      </w:pPr>
      <w:r>
        <w:t>模型内容安全与合规风控需求</w:t>
      </w:r>
    </w:p>
    <w:p w14:paraId="04CDF700">
      <w:pPr>
        <w:pStyle w:val="12"/>
        <w:rPr>
          <w:b w:val="0"/>
          <w:color w:val="auto"/>
        </w:rPr>
      </w:pPr>
      <w:r>
        <w:rPr>
          <w:b w:val="0"/>
          <w:color w:val="auto"/>
        </w:rPr>
        <w:t>天津港信息公司建设的全集团大模型内容安全防护能力需兼容输入端防御与防注入能力、输出端合规检测与脱敏能力、内容安全评测与模型管理能力。基于“以模制模”“以测促防”的设计理念，提供智能判定机制、风险内容检测、敏感问题代答、内容安全测评等关键技术，实现“输入输出内容安全，大模型价值观对齐”的防护目标，帮助天津港集团筑牢大模型内容安全防线。</w:t>
      </w:r>
    </w:p>
    <w:p w14:paraId="738ED19F">
      <w:pPr>
        <w:pStyle w:val="12"/>
        <w:rPr>
          <w:b w:val="0"/>
          <w:color w:val="auto"/>
        </w:rPr>
      </w:pPr>
      <w:r>
        <w:rPr>
          <w:b w:val="0"/>
          <w:color w:val="auto"/>
        </w:rPr>
        <w:t>天津港数字员工智能体以及天津港各大模型应用所涉及的大模型安全防护，全部对接信息公司建设的大模型内容安全防护平台的API，主要实现以下防护需求</w:t>
      </w:r>
    </w:p>
    <w:p w14:paraId="19CDA5F1">
      <w:pPr>
        <w:pStyle w:val="4"/>
        <w:numPr>
          <w:ilvl w:val="0"/>
          <w:numId w:val="9"/>
        </w:numPr>
        <w:topLinePunct w:val="0"/>
        <w:ind w:left="0" w:leftChars="0" w:firstLine="640" w:firstLineChars="0"/>
        <w:rPr>
          <w:b w:val="0"/>
          <w:bdr w:val="none" w:sz="0" w:space="0"/>
        </w:rPr>
      </w:pPr>
      <w:r>
        <w:t>输入端防御与防注入需求</w:t>
      </w:r>
    </w:p>
    <w:p w14:paraId="0163DC08">
      <w:pPr>
        <w:pStyle w:val="12"/>
        <w:rPr>
          <w:b w:val="0"/>
          <w:color w:val="auto"/>
        </w:rPr>
      </w:pPr>
      <w:r>
        <w:rPr>
          <w:b w:val="0"/>
          <w:color w:val="auto"/>
        </w:rPr>
        <w:t>部署动态敏感词过滤引擎，针对涉及集团商业机密、敏感人事信息及合规红线的词汇进行实时拦截。建立“提示词注入”防御机制，自动识别并阻断恶意用户尝试通过“角色扮演”“诱导式提问”等手段绕过系统安全规则的攻击行为。</w:t>
      </w:r>
    </w:p>
    <w:p w14:paraId="6EFCCB56">
      <w:pPr>
        <w:pStyle w:val="4"/>
        <w:numPr>
          <w:ilvl w:val="0"/>
          <w:numId w:val="9"/>
        </w:numPr>
        <w:topLinePunct w:val="0"/>
        <w:ind w:left="0" w:leftChars="0" w:firstLine="640" w:firstLineChars="0"/>
        <w:rPr>
          <w:b w:val="0"/>
          <w:bdr w:val="none" w:sz="0" w:space="0"/>
        </w:rPr>
      </w:pPr>
      <w:r>
        <w:t>输出端合规检测与脱敏需求</w:t>
      </w:r>
    </w:p>
    <w:p w14:paraId="5BA8A7C6">
      <w:pPr>
        <w:pStyle w:val="12"/>
        <w:rPr>
          <w:b w:val="0"/>
          <w:color w:val="auto"/>
        </w:rPr>
      </w:pPr>
      <w:r>
        <w:rPr>
          <w:b w:val="0"/>
          <w:color w:val="auto"/>
        </w:rPr>
        <w:t>实施生成内容的实时合规性检测，对大模型推理生成的文本进行二次扫描。具备敏感实体识别能力，自动对回复内容中的敏感数据（如具体薪资数字、身份证号、未公开财务指标）进行脱敏或掩码处理，确保“数据不出域”且输出内容符合集团信息发布规范，严防因模型“幻觉”或越权推理导致的数据泄漏风险</w:t>
      </w:r>
    </w:p>
    <w:p w14:paraId="593E9CE1">
      <w:pPr>
        <w:pStyle w:val="5"/>
        <w:numPr>
          <w:ilvl w:val="0"/>
          <w:numId w:val="10"/>
        </w:numPr>
        <w:topLinePunct w:val="0"/>
        <w:ind w:left="0" w:leftChars="0" w:firstLine="640" w:firstLineChars="0"/>
        <w:rPr>
          <w:b w:val="0"/>
          <w:bdr w:val="none" w:sz="0" w:space="0"/>
        </w:rPr>
      </w:pPr>
      <w:bookmarkStart w:id="0" w:name="_Toc194818687"/>
      <w:bookmarkStart w:id="1" w:name="_Toc1225336218"/>
      <w:bookmarkStart w:id="2" w:name="_Toc951345124"/>
      <w:bookmarkStart w:id="3" w:name="_Toc403535829"/>
      <w:bookmarkStart w:id="4" w:name="_Toc219826693"/>
      <w:bookmarkStart w:id="5" w:name="_Toc1162825049"/>
      <w:bookmarkStart w:id="6" w:name="_Toc1107195159"/>
      <w:bookmarkStart w:id="7" w:name="_Toc146207321"/>
      <w:bookmarkStart w:id="8" w:name="_Toc100264323"/>
      <w:r>
        <w:t>核心架构</w:t>
      </w:r>
      <w:bookmarkEnd w:id="0"/>
      <w:bookmarkEnd w:id="1"/>
      <w:bookmarkEnd w:id="2"/>
      <w:bookmarkEnd w:id="3"/>
      <w:bookmarkEnd w:id="4"/>
      <w:bookmarkEnd w:id="5"/>
      <w:bookmarkEnd w:id="6"/>
      <w:bookmarkEnd w:id="7"/>
      <w:bookmarkEnd w:id="8"/>
    </w:p>
    <w:p w14:paraId="4C62D6BC">
      <w:pPr>
        <w:pStyle w:val="12"/>
        <w:rPr>
          <w:b w:val="0"/>
          <w:color w:val="auto"/>
        </w:rPr>
      </w:pPr>
      <w:r>
        <w:rPr>
          <w:b w:val="0"/>
          <w:color w:val="auto"/>
        </w:rPr>
        <w:drawing>
          <wp:anchor distT="0" distB="0" distL="114300" distR="114300" simplePos="0" relativeHeight="251660288" behindDoc="0" locked="0" layoutInCell="1" allowOverlap="1">
            <wp:simplePos x="0" y="0"/>
            <wp:positionH relativeFrom="column">
              <wp:posOffset>250825</wp:posOffset>
            </wp:positionH>
            <wp:positionV relativeFrom="paragraph">
              <wp:posOffset>779780</wp:posOffset>
            </wp:positionV>
            <wp:extent cx="5133340" cy="2304415"/>
            <wp:effectExtent l="0" t="0" r="0" b="63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33340" cy="2304415"/>
                    </a:xfrm>
                    <a:prstGeom prst="rect">
                      <a:avLst/>
                    </a:prstGeom>
                    <a:noFill/>
                  </pic:spPr>
                </pic:pic>
              </a:graphicData>
            </a:graphic>
          </wp:anchor>
        </w:drawing>
      </w:r>
      <w:r>
        <w:rPr>
          <w:b w:val="0"/>
          <w:color w:val="auto"/>
        </w:rPr>
        <w:t>聚焦生成式AI内容安全合规管理，构建多层级功能架构，如下图所示：</w:t>
      </w:r>
    </w:p>
    <w:p w14:paraId="2D976BD1">
      <w:pPr>
        <w:pStyle w:val="12"/>
        <w:rPr>
          <w:b w:val="0"/>
          <w:color w:val="auto"/>
        </w:rPr>
      </w:pPr>
      <w:r>
        <w:rPr>
          <w:rFonts w:hint="eastAsia"/>
          <w:b w:val="0"/>
          <w:color w:val="auto"/>
          <w:lang w:val="en-US" w:eastAsia="zh-CN"/>
        </w:rPr>
        <w:t>A.</w:t>
      </w:r>
      <w:r>
        <w:rPr>
          <w:b w:val="0"/>
          <w:color w:val="auto"/>
        </w:rPr>
        <w:t>基础数据层</w:t>
      </w:r>
    </w:p>
    <w:p w14:paraId="250FFA95">
      <w:pPr>
        <w:pStyle w:val="12"/>
        <w:rPr>
          <w:b w:val="0"/>
          <w:color w:val="auto"/>
        </w:rPr>
      </w:pPr>
      <w:r>
        <w:rPr>
          <w:b w:val="0"/>
          <w:color w:val="auto"/>
        </w:rPr>
        <w:t>提供规则策略库（存储安全规则、风控策略）、评测数据集（为内容评测提供数据样本）、干预回复库（储备干预与回复内容）、敏感词库（维护敏感词清单）、模型接入（管理模型接入信息）、模型资产（梳理模型资产数据），作为业务运行基础支撑，为功能实现、引擎运转提供数据与策略依据，保障产品功能稳定、有效发挥。</w:t>
      </w:r>
    </w:p>
    <w:p w14:paraId="710CEECF">
      <w:pPr>
        <w:pStyle w:val="12"/>
        <w:rPr>
          <w:b w:val="0"/>
          <w:color w:val="auto"/>
        </w:rPr>
      </w:pPr>
      <w:r>
        <w:rPr>
          <w:rFonts w:hint="eastAsia"/>
          <w:b w:val="0"/>
          <w:color w:val="auto"/>
          <w:lang w:val="en-US" w:eastAsia="zh-CN"/>
        </w:rPr>
        <w:t>B.</w:t>
      </w:r>
      <w:r>
        <w:rPr>
          <w:b w:val="0"/>
          <w:color w:val="auto"/>
        </w:rPr>
        <w:t>业务引擎层</w:t>
      </w:r>
    </w:p>
    <w:p w14:paraId="18325C62">
      <w:pPr>
        <w:pStyle w:val="12"/>
        <w:rPr>
          <w:b w:val="0"/>
          <w:color w:val="auto"/>
        </w:rPr>
      </w:pPr>
      <w:r>
        <w:rPr>
          <w:b w:val="0"/>
          <w:color w:val="auto"/>
        </w:rPr>
        <w:t>提供多维度内容安全防护引擎，具体包括：</w:t>
      </w:r>
    </w:p>
    <w:p w14:paraId="5F0EE5B4">
      <w:pPr>
        <w:pStyle w:val="12"/>
        <w:rPr>
          <w:b w:val="0"/>
          <w:color w:val="auto"/>
        </w:rPr>
      </w:pPr>
      <w:r>
        <w:rPr>
          <w:b w:val="0"/>
          <w:color w:val="auto"/>
        </w:rPr>
        <w:t>风控检测大模型，用于对提示词输入和模型回答的输出内容进行全面检测，识别潜在的敏感内容、涉政涉黄、提示词攻击等高</w:t>
      </w:r>
      <w:r>
        <w:rPr>
          <w:b w:val="0"/>
          <w:color w:val="auto"/>
          <w:spacing wpsCustomData:val="0" w:val="4"/>
        </w:rPr>
        <w:t>风险行为，支持文本、图片、音频、视频等多模态内容安</w:t>
      </w:r>
      <w:r>
        <w:rPr>
          <w:b w:val="0"/>
          <w:color w:val="auto"/>
        </w:rPr>
        <w:t>全防护；</w:t>
      </w:r>
    </w:p>
    <w:p w14:paraId="598F1CE1">
      <w:pPr>
        <w:pStyle w:val="12"/>
        <w:rPr>
          <w:b w:val="0"/>
          <w:color w:val="auto"/>
        </w:rPr>
      </w:pPr>
      <w:r>
        <w:rPr>
          <w:b w:val="0"/>
          <w:color w:val="auto"/>
        </w:rPr>
        <w:t>安全代答大模型，用于对敏感问题进行安全代答，输出“合规、可信、向善”的安全回复，确保内容合法合规，强调正向价值引导；</w:t>
      </w:r>
    </w:p>
    <w:p w14:paraId="6253D28E">
      <w:pPr>
        <w:pStyle w:val="12"/>
        <w:rPr>
          <w:b w:val="0"/>
          <w:color w:val="auto"/>
        </w:rPr>
      </w:pPr>
      <w:r>
        <w:rPr>
          <w:b w:val="0"/>
          <w:color w:val="auto"/>
        </w:rPr>
        <w:t>内容评测裁判大模型，用于对业务模型输出文本进行自动化的安全性判断与评分，涵盖多种风险类型，如涉政、暴力、色情、歧视、虚假陈述、价值观偏差、敏感信息暴露等；</w:t>
      </w:r>
    </w:p>
    <w:p w14:paraId="44C1843A">
      <w:pPr>
        <w:pStyle w:val="12"/>
        <w:rPr>
          <w:b w:val="0"/>
          <w:color w:val="auto"/>
        </w:rPr>
      </w:pPr>
      <w:r>
        <w:rPr>
          <w:b w:val="0"/>
          <w:color w:val="auto"/>
        </w:rPr>
        <w:t>敏感词匹配引擎，覆盖如涉政、涉黄、暴力、违禁品等多种内容风险类别，并支持根据自身需求动态更新词库，通过敏感词匹配，针对风险行为触发不同的处理机制；</w:t>
      </w:r>
    </w:p>
    <w:p w14:paraId="4EFA7B76">
      <w:pPr>
        <w:pStyle w:val="12"/>
        <w:rPr>
          <w:b w:val="0"/>
          <w:color w:val="auto"/>
        </w:rPr>
      </w:pPr>
      <w:r>
        <w:rPr>
          <w:b w:val="0"/>
          <w:color w:val="auto"/>
        </w:rPr>
        <w:t>敏感数据识别引擎，具备敏感数据识别规则引擎，提供敏感数据识别能力，覆盖身份证号、手机号、银行卡号、电子邮箱等PII数据识别，内置9大类24小类敏感数据识别规则，支持自定义敏感数据识别规则及脱敏策略。</w:t>
      </w:r>
    </w:p>
    <w:p w14:paraId="7A5F4843">
      <w:pPr>
        <w:pStyle w:val="12"/>
        <w:rPr>
          <w:b w:val="0"/>
          <w:color w:val="auto"/>
        </w:rPr>
      </w:pPr>
      <w:r>
        <w:rPr>
          <w:b w:val="0"/>
          <w:color w:val="auto"/>
        </w:rPr>
        <w:t>干预回复引擎，针对敏感非拒答问题，给出安全向善的回答，例如涉及高危的政治人物、意识形态等问题，必须给出安全准确的回答。</w:t>
      </w:r>
    </w:p>
    <w:p w14:paraId="34642FD9">
      <w:pPr>
        <w:pStyle w:val="12"/>
        <w:rPr>
          <w:b w:val="0"/>
          <w:color w:val="auto"/>
        </w:rPr>
      </w:pPr>
      <w:r>
        <w:rPr>
          <w:b w:val="0"/>
          <w:color w:val="auto"/>
        </w:rPr>
        <w:t>任务调度引擎，为业务功能层提供核心技术能力支撑，驱动安全检测、内容处理、任务执行等流程高效运转。</w:t>
      </w:r>
    </w:p>
    <w:p w14:paraId="028C54E7">
      <w:pPr>
        <w:pStyle w:val="6"/>
      </w:pPr>
      <w:r>
        <w:rPr>
          <w:rFonts w:hint="eastAsia"/>
          <w:lang w:val="en-US" w:eastAsia="zh-CN"/>
        </w:rPr>
        <w:t>C.</w:t>
      </w:r>
      <w:r>
        <w:t>业务功能层</w:t>
      </w:r>
    </w:p>
    <w:p w14:paraId="47BAF2E9">
      <w:pPr>
        <w:pStyle w:val="12"/>
        <w:rPr>
          <w:b w:val="0"/>
          <w:color w:val="auto"/>
        </w:rPr>
      </w:pPr>
      <w:r>
        <w:rPr>
          <w:b w:val="0"/>
          <w:color w:val="auto"/>
        </w:rPr>
        <w:t>围绕内容安全评测与护栏，提供交互式功能，包括：可视化展示：通过态势大屏、工作台、驾驶舱，实现AI业务安全数据可视化呈现，便于直观洞察业务运行状态与风险。</w:t>
      </w:r>
    </w:p>
    <w:p w14:paraId="6A059D19">
      <w:pPr>
        <w:pStyle w:val="12"/>
        <w:rPr>
          <w:b w:val="0"/>
          <w:color w:val="auto"/>
        </w:rPr>
      </w:pPr>
      <w:r>
        <w:rPr>
          <w:b w:val="0"/>
          <w:color w:val="auto"/>
        </w:rPr>
        <w:t>内容安全评测：以风险数据管理、数据集管理、评测任务、评测报告为支撑，对AI生成内容安全属性深度检测、评估，识别违规、风险内容。提供训练语料安全评估能力，导入语料后智能分析违规内容。</w:t>
      </w:r>
    </w:p>
    <w:p w14:paraId="7468BAB8">
      <w:pPr>
        <w:pStyle w:val="12"/>
        <w:rPr>
          <w:b w:val="0"/>
          <w:color w:val="auto"/>
        </w:rPr>
      </w:pPr>
      <w:r>
        <w:rPr>
          <w:b w:val="0"/>
          <w:color w:val="auto"/>
        </w:rPr>
        <w:t>内容安全护栏：依托护栏告警、干预库管理、护栏日志、规则引擎管理、数据可视化、隐私设置、敏感词管理、规则引擎配置、告警加白等能力，构建内容安全防护体系，实时拦截、干预风险内容，保障输出安全合规。</w:t>
      </w:r>
    </w:p>
    <w:p w14:paraId="70D02199">
      <w:pPr>
        <w:pStyle w:val="12"/>
        <w:rPr>
          <w:b w:val="0"/>
          <w:color w:val="auto"/>
        </w:rPr>
      </w:pPr>
      <w:r>
        <w:rPr>
          <w:b w:val="0"/>
          <w:color w:val="auto"/>
        </w:rPr>
        <w:t>模型管理：借助模型接入、模型资产识别、模型漏洞识别，实现AI模型全生命周期管理，从接入到运行，持续监测模型安全状态，防范模型层面风险。</w:t>
      </w:r>
    </w:p>
    <w:p w14:paraId="7BA5D50D">
      <w:pPr>
        <w:pStyle w:val="12"/>
        <w:rPr>
          <w:b w:val="0"/>
          <w:color w:val="auto"/>
        </w:rPr>
      </w:pPr>
      <w:r>
        <w:rPr>
          <w:b w:val="0"/>
          <w:color w:val="auto"/>
        </w:rPr>
        <w:t>系统管理：通过用户管理、数据上报、设备管理、审计日志等管理性功能，保障系统稳定、安全运行，规范用户操作与数据流转。</w:t>
      </w:r>
    </w:p>
    <w:p w14:paraId="23EB5846">
      <w:pPr>
        <w:pStyle w:val="6"/>
      </w:pPr>
      <w:r>
        <w:rPr>
          <w:rFonts w:hint="eastAsia"/>
          <w:lang w:val="en-US" w:eastAsia="zh-CN"/>
        </w:rPr>
        <w:t>D.</w:t>
      </w:r>
      <w:r>
        <w:t>业务场景层</w:t>
      </w:r>
    </w:p>
    <w:p w14:paraId="6F8E0DEC">
      <w:pPr>
        <w:pStyle w:val="12"/>
        <w:rPr>
          <w:b w:val="0"/>
          <w:color w:val="auto"/>
        </w:rPr>
      </w:pPr>
      <w:r>
        <w:rPr>
          <w:b w:val="0"/>
          <w:color w:val="auto"/>
        </w:rPr>
        <w:t>基于下层功能设计，能够支撑AI业务合规备案、天津港集团的AI应用风控、模型上线前内部风险评估、大模型选型测试等业务场景，满足业务模型备案前自测、上线前自评、上线后持续风险监测等需求。</w:t>
      </w:r>
    </w:p>
    <w:p w14:paraId="68C59209">
      <w:pPr>
        <w:pStyle w:val="5"/>
        <w:numPr>
          <w:ilvl w:val="0"/>
          <w:numId w:val="10"/>
        </w:numPr>
        <w:topLinePunct w:val="0"/>
        <w:ind w:left="0" w:leftChars="0" w:firstLine="640" w:firstLineChars="0"/>
        <w:rPr>
          <w:b w:val="0"/>
          <w:bdr w:val="none" w:sz="0" w:space="0"/>
        </w:rPr>
      </w:pPr>
      <w:bookmarkStart w:id="9" w:name="_Toc1241747153"/>
      <w:bookmarkStart w:id="10" w:name="_Toc683236058"/>
      <w:bookmarkStart w:id="11" w:name="_Toc219826694"/>
      <w:bookmarkStart w:id="12" w:name="_Toc1552594381"/>
      <w:bookmarkStart w:id="13" w:name="_Toc1515297413"/>
      <w:bookmarkStart w:id="14" w:name="_Toc473320777"/>
      <w:bookmarkStart w:id="15" w:name="_Toc146207322"/>
      <w:bookmarkStart w:id="16" w:name="_Toc1499410843"/>
      <w:bookmarkStart w:id="17" w:name="_Toc2005124843"/>
      <w:bookmarkStart w:id="18" w:name="_Toc79336620"/>
      <w:bookmarkStart w:id="19" w:name="_Toc79336682"/>
      <w:r>
        <w:t>功能</w:t>
      </w:r>
      <w:bookmarkEnd w:id="9"/>
      <w:bookmarkEnd w:id="10"/>
      <w:bookmarkEnd w:id="11"/>
      <w:bookmarkEnd w:id="12"/>
      <w:bookmarkEnd w:id="13"/>
      <w:bookmarkEnd w:id="14"/>
      <w:bookmarkEnd w:id="15"/>
      <w:bookmarkEnd w:id="16"/>
      <w:bookmarkEnd w:id="17"/>
      <w:bookmarkEnd w:id="18"/>
      <w:r>
        <w:t>设计方案</w:t>
      </w:r>
    </w:p>
    <w:p w14:paraId="7E804B1E">
      <w:pPr>
        <w:pStyle w:val="6"/>
        <w:numPr>
          <w:ilvl w:val="0"/>
          <w:numId w:val="11"/>
        </w:numPr>
        <w:ind w:left="0" w:leftChars="0" w:firstLine="640" w:firstLineChars="0"/>
        <w:rPr>
          <w:b w:val="0"/>
          <w:bdr w:val="none" w:sz="0" w:space="0"/>
        </w:rPr>
      </w:pPr>
      <w:r>
        <w:t>输入端防御与防注入防护设计</w:t>
      </w:r>
    </w:p>
    <w:p w14:paraId="1ACEB4AA">
      <w:pPr>
        <w:pStyle w:val="12"/>
        <w:rPr>
          <w:b w:val="0"/>
          <w:color w:val="auto"/>
        </w:rPr>
      </w:pPr>
      <w:r>
        <w:rPr>
          <w:b w:val="0"/>
          <w:color w:val="auto"/>
        </w:rPr>
        <w:t>风险检测大模型</w:t>
      </w:r>
    </w:p>
    <w:p w14:paraId="06F58D7E">
      <w:pPr>
        <w:pStyle w:val="12"/>
        <w:rPr>
          <w:b w:val="0"/>
          <w:color w:val="auto"/>
        </w:rPr>
      </w:pPr>
      <w:r>
        <w:rPr>
          <w:b w:val="0"/>
          <w:color w:val="auto"/>
        </w:rPr>
        <w:t>风险检测大模型经过专项训练，涵盖100余种风险类目，通过对不同类别风险内容的深度学习与广泛覆盖，确保模型在多种风险场景下均能保持高效精准的检测能力。该模型用于识别输入</w:t>
      </w:r>
      <w:r>
        <w:rPr>
          <w:b w:val="0"/>
          <w:color w:val="auto"/>
        </w:rPr>
        <w:t>／</w:t>
      </w:r>
      <w:r>
        <w:rPr>
          <w:b w:val="0"/>
          <w:color w:val="auto"/>
        </w:rPr>
        <w:t>输出内容，进行内容风险识别与攻击检测，并输出具体风险标签及分级处置建议，如拒答、安全代答和正常回答。</w:t>
      </w:r>
    </w:p>
    <w:p w14:paraId="3654F43C">
      <w:pPr>
        <w:pStyle w:val="12"/>
        <w:rPr>
          <w:b w:val="0"/>
          <w:color w:val="auto"/>
        </w:rPr>
      </w:pPr>
      <w:r>
        <w:rPr>
          <w:b w:val="0"/>
          <w:color w:val="auto"/>
        </w:rPr>
        <w:t>多模态内容防护（当前未建设，后续可扩容）</w:t>
      </w:r>
    </w:p>
    <w:p w14:paraId="742A683A">
      <w:pPr>
        <w:pStyle w:val="12"/>
        <w:rPr>
          <w:b w:val="0"/>
          <w:color w:val="auto"/>
        </w:rPr>
      </w:pPr>
      <w:r>
        <w:rPr>
          <w:b w:val="0"/>
          <w:color w:val="auto"/>
        </w:rPr>
        <w:t>多模态检测依托专项训练的图片内容审核模型、音视频内容审核模型，并结合风险检测大模型的文本审核能力，构建覆盖“文本</w:t>
      </w:r>
      <w:r>
        <w:rPr>
          <w:b w:val="0"/>
          <w:color w:val="auto"/>
        </w:rPr>
        <w:t>＋</w:t>
      </w:r>
      <w:r>
        <w:rPr>
          <w:b w:val="0"/>
          <w:color w:val="auto"/>
        </w:rPr>
        <w:t>图片</w:t>
      </w:r>
      <w:r>
        <w:rPr>
          <w:b w:val="0"/>
          <w:color w:val="auto"/>
        </w:rPr>
        <w:t>＋</w:t>
      </w:r>
      <w:r>
        <w:rPr>
          <w:b w:val="0"/>
          <w:color w:val="auto"/>
        </w:rPr>
        <w:t>音频</w:t>
      </w:r>
      <w:r>
        <w:rPr>
          <w:b w:val="0"/>
          <w:color w:val="auto"/>
        </w:rPr>
        <w:t>＋</w:t>
      </w:r>
      <w:r>
        <w:rPr>
          <w:b w:val="0"/>
          <w:color w:val="auto"/>
        </w:rPr>
        <w:t>视频”的全维度内容安全防线，精准识别多形态违规内容风险。</w:t>
      </w:r>
    </w:p>
    <w:p w14:paraId="00BFB924">
      <w:pPr>
        <w:pStyle w:val="6"/>
        <w:numPr>
          <w:ilvl w:val="0"/>
          <w:numId w:val="11"/>
        </w:numPr>
        <w:ind w:left="0" w:leftChars="0" w:firstLine="640" w:firstLineChars="0"/>
        <w:rPr>
          <w:b w:val="0"/>
          <w:bdr w:val="none" w:sz="0" w:space="0"/>
        </w:rPr>
      </w:pPr>
      <w:r>
        <w:t>输出端合规检测与脱敏防护设计</w:t>
      </w:r>
    </w:p>
    <w:p w14:paraId="562E5917">
      <w:pPr>
        <w:pStyle w:val="12"/>
        <w:rPr>
          <w:b w:val="0"/>
          <w:color w:val="auto"/>
        </w:rPr>
      </w:pPr>
      <w:r>
        <w:rPr>
          <w:b w:val="0"/>
          <w:color w:val="auto"/>
        </w:rPr>
        <w:t>敏感数据防护（当前未建设，后续可扩容）</w:t>
      </w:r>
    </w:p>
    <w:p w14:paraId="4B1CBE58">
      <w:pPr>
        <w:pStyle w:val="12"/>
        <w:rPr>
          <w:b w:val="0"/>
          <w:color w:val="auto"/>
        </w:rPr>
      </w:pPr>
      <w:r>
        <w:rPr>
          <w:b w:val="0"/>
          <w:color w:val="auto"/>
        </w:rPr>
        <w:t>敏感数据防护用于规避个人身份信息、天津港集团的商业机密等敏感数据识别与脱敏防护，实现敏感数据在用户与AI应用交互过程中严格遵循“安全可控、最小必要”的合规原则，从输入到输出闭环阻断敏感数据泄漏风险。</w:t>
      </w:r>
    </w:p>
    <w:p w14:paraId="28BF05FE">
      <w:pPr>
        <w:pStyle w:val="12"/>
        <w:rPr>
          <w:b w:val="0"/>
          <w:color w:val="auto"/>
        </w:rPr>
      </w:pPr>
      <w:r>
        <w:rPr>
          <w:b w:val="0"/>
          <w:color w:val="auto"/>
        </w:rPr>
        <w:t>内置敏感数据识别规则覆盖9大类24小类，包括身份证号、手机号、银行卡号、社保卡号、电子邮箱、证券账户、交易记录、住址等高频敏感数据类型，实现对动态交互场景中的敏感信息进行精准捕获。无论是用户提问中主动提供的敏感数据，还是业务模型输出中意外包含的敏感信息，均可实现准确识别，并在最终交互的内容中对敏感信息进行脱敏处理，例如手机号中间四位脱敏、姓名仅保留开头首个汉字、邮箱隐藏中间四位等。</w:t>
      </w:r>
    </w:p>
    <w:p w14:paraId="4355BAD0">
      <w:pPr>
        <w:pStyle w:val="12"/>
        <w:rPr>
          <w:b w:val="0"/>
          <w:color w:val="auto"/>
        </w:rPr>
      </w:pPr>
      <w:r>
        <w:rPr>
          <w:b w:val="0"/>
          <w:color w:val="auto"/>
        </w:rPr>
        <w:t>支持自定义敏感数据识别与脱敏策略，提供数据隐藏、随机替换数字、随机替换字母、对称加密、日期偏移、仅保留开头汉字等脱敏方式，帮助天津港集团根据业务场景特性，自定义脱敏策略与脱敏范围，既保障数据安全，又兼顾业务体验，实现敏感数据“可用不可见”的安全目标。</w:t>
      </w:r>
    </w:p>
    <w:p w14:paraId="4AEC99B9">
      <w:pPr>
        <w:pStyle w:val="7"/>
      </w:pPr>
      <w:r>
        <w:t>敏感词匹配</w:t>
      </w:r>
    </w:p>
    <w:p w14:paraId="71D23814">
      <w:pPr>
        <w:pStyle w:val="12"/>
        <w:rPr>
          <w:b w:val="0"/>
          <w:color w:val="auto"/>
        </w:rPr>
      </w:pPr>
      <w:r>
        <w:rPr>
          <w:b w:val="0"/>
          <w:color w:val="auto"/>
        </w:rPr>
        <w:t>敏感词匹配是内容安全防护的“基础哨兵”，依托动态更新的敏感词库，实现风险内容的快速识别。</w:t>
      </w:r>
    </w:p>
    <w:p w14:paraId="28BE4A5B">
      <w:pPr>
        <w:pStyle w:val="12"/>
        <w:rPr>
          <w:b w:val="0"/>
          <w:color w:val="auto"/>
        </w:rPr>
      </w:pPr>
      <w:r>
        <w:rPr>
          <w:b w:val="0"/>
          <w:color w:val="auto"/>
        </w:rPr>
        <w:t>核心词库能力：系统内置370万条多维度敏感词库，覆盖涉政、涉黄、暴力、违禁品、歧视性内容等风险类别，每条敏感词关联风险等级、所属场景、处置建议；</w:t>
      </w:r>
    </w:p>
    <w:p w14:paraId="27375EE6">
      <w:pPr>
        <w:pStyle w:val="12"/>
        <w:rPr>
          <w:b w:val="0"/>
          <w:color w:val="auto"/>
        </w:rPr>
      </w:pPr>
      <w:r>
        <w:rPr>
          <w:b w:val="0"/>
          <w:color w:val="auto"/>
        </w:rPr>
        <w:t>自定义能力：支持人工增补更新词库，人工可维护行业新规词汇（如监管新增违禁词），确保对新兴风险、变异违规内容的实时覆盖；</w:t>
      </w:r>
    </w:p>
    <w:p w14:paraId="12406F3B">
      <w:pPr>
        <w:pStyle w:val="12"/>
        <w:rPr>
          <w:b w:val="0"/>
          <w:color w:val="auto"/>
        </w:rPr>
      </w:pPr>
      <w:r>
        <w:rPr>
          <w:b w:val="0"/>
          <w:color w:val="auto"/>
        </w:rPr>
        <w:t>分级处置联动：结合规则引擎，为不同风险等级的敏感词配置差异化处置策略。</w:t>
      </w:r>
    </w:p>
    <w:p w14:paraId="4CF7DD76">
      <w:pPr>
        <w:pStyle w:val="7"/>
      </w:pPr>
      <w:r>
        <w:t>干预回复</w:t>
      </w:r>
    </w:p>
    <w:p w14:paraId="5BF7C617">
      <w:pPr>
        <w:pStyle w:val="12"/>
        <w:rPr>
          <w:b w:val="0"/>
          <w:color w:val="auto"/>
        </w:rPr>
      </w:pPr>
      <w:r>
        <w:rPr>
          <w:b w:val="0"/>
          <w:color w:val="auto"/>
        </w:rPr>
        <w:t>干预回复作为内容安全护栏的“柔性处置单元”，聚焦敏感非拒答场景的合规引导。面对涉及价值观引导、风险信息澄清等需求（如高危政治人物、意识形态类问题），需通过合理干预机制，输出安全向善、准确合规的回复，既守住安全底线，又保障用户体验。</w:t>
      </w:r>
    </w:p>
    <w:p w14:paraId="4B775279">
      <w:pPr>
        <w:pStyle w:val="12"/>
        <w:rPr>
          <w:b w:val="0"/>
          <w:color w:val="auto"/>
        </w:rPr>
      </w:pPr>
      <w:r>
        <w:rPr>
          <w:b w:val="0"/>
          <w:color w:val="auto"/>
        </w:rPr>
        <w:t>系统提供多层级干预回复机制：</w:t>
      </w:r>
    </w:p>
    <w:p w14:paraId="3BA3B7EF">
      <w:pPr>
        <w:pStyle w:val="12"/>
        <w:rPr>
          <w:b w:val="0"/>
          <w:color w:val="auto"/>
        </w:rPr>
      </w:pPr>
      <w:r>
        <w:rPr>
          <w:b w:val="0"/>
          <w:color w:val="auto"/>
        </w:rPr>
        <w:t>标准化干预库：预置覆盖政治、伦理、安全等领域的标准答案，针对高频敏感场景（如恶意诱导违规内容、政策类误解提问），实现“提问－匹配－回复”秒级响应；</w:t>
      </w:r>
    </w:p>
    <w:p w14:paraId="12D42CB6">
      <w:pPr>
        <w:pStyle w:val="12"/>
        <w:rPr>
          <w:b w:val="0"/>
          <w:color w:val="auto"/>
        </w:rPr>
      </w:pPr>
      <w:r>
        <w:rPr>
          <w:b w:val="0"/>
          <w:color w:val="auto"/>
        </w:rPr>
        <w:t>自定义扩展库：开放用户自定义入口，支持天津港集团结合业务场景补充专属回复，适配垂直领域安全沟通需求；</w:t>
      </w:r>
    </w:p>
    <w:p w14:paraId="70C3F045">
      <w:pPr>
        <w:pStyle w:val="12"/>
        <w:rPr>
          <w:b w:val="0"/>
          <w:color w:val="auto"/>
        </w:rPr>
      </w:pPr>
      <w:r>
        <w:rPr>
          <w:b w:val="0"/>
          <w:color w:val="auto"/>
        </w:rPr>
        <w:t>智能兜底流转：当干预库无匹配答案时，自动触发分级流转机</w:t>
      </w:r>
      <w:r>
        <w:rPr>
          <w:b w:val="0"/>
          <w:color w:val="auto"/>
          <w:spacing wpsCustomData:val="0" w:val="4"/>
        </w:rPr>
        <w:t>制，可调用安全代答大模型生成合规回复，确保风险处置</w:t>
      </w:r>
      <w:r>
        <w:rPr>
          <w:b w:val="0"/>
          <w:color w:val="auto"/>
        </w:rPr>
        <w:t>无遗漏。</w:t>
      </w:r>
    </w:p>
    <w:p w14:paraId="27E58313">
      <w:pPr>
        <w:pStyle w:val="12"/>
        <w:rPr>
          <w:b w:val="0"/>
          <w:color w:val="auto"/>
        </w:rPr>
      </w:pPr>
      <w:r>
        <w:rPr>
          <w:b w:val="0"/>
          <w:color w:val="auto"/>
        </w:rPr>
        <w:t>安全代答大模型</w:t>
      </w:r>
    </w:p>
    <w:p w14:paraId="2AE23B0F">
      <w:pPr>
        <w:pStyle w:val="12"/>
        <w:rPr>
          <w:b w:val="0"/>
          <w:color w:val="auto"/>
        </w:rPr>
      </w:pPr>
      <w:r>
        <w:rPr>
          <w:b w:val="0"/>
          <w:color w:val="auto"/>
        </w:rPr>
        <w:t>安全代答大模型作为内容安全的“合规发言人”，聚焦敏感问题的安全响应，平衡用户体验与安全底线，用一个“安全向善”的大模型专门对敏感问题进行安全代答。</w:t>
      </w:r>
    </w:p>
    <w:p w14:paraId="4400690B">
      <w:pPr>
        <w:pStyle w:val="12"/>
        <w:rPr>
          <w:b w:val="0"/>
          <w:color w:val="auto"/>
        </w:rPr>
      </w:pPr>
      <w:r>
        <w:rPr>
          <w:b w:val="0"/>
          <w:color w:val="auto"/>
        </w:rPr>
        <w:t>专项训练体系：基于海量合法合规文本进行训练，涵盖政治、伦理、民生等领域的优质内容；针对“政治敏感、色情低俗、暴力恐怖”等风险场景，构建细分训练样本集（如按违规类型、场景复杂度分类），并设置差异化训练参数，例如强化政治类问题的准确性，优化价值观引导的话术；</w:t>
      </w:r>
    </w:p>
    <w:p w14:paraId="5ECAA67B">
      <w:pPr>
        <w:pStyle w:val="12"/>
        <w:rPr>
          <w:b w:val="0"/>
          <w:color w:val="auto"/>
        </w:rPr>
      </w:pPr>
      <w:r>
        <w:rPr>
          <w:b w:val="0"/>
          <w:color w:val="auto"/>
        </w:rPr>
        <w:t>回复质量保障：在训练过程中融入多轮对话逻辑和用户意图理解能力，确保回复既合规又自然。面对敏感提问时，输出“正向引导</w:t>
      </w:r>
      <w:r>
        <w:rPr>
          <w:b w:val="0"/>
          <w:color w:val="auto"/>
        </w:rPr>
        <w:t>＋</w:t>
      </w:r>
      <w:r>
        <w:rPr>
          <w:b w:val="0"/>
          <w:color w:val="auto"/>
        </w:rPr>
        <w:t>合规解释”的内容，例如回应恶意诱导时，既拒绝违规请求，又阐明合规依据；</w:t>
      </w:r>
    </w:p>
    <w:p w14:paraId="1F61B492">
      <w:pPr>
        <w:pStyle w:val="7"/>
      </w:pPr>
      <w:bookmarkStart w:id="20" w:name="_Toc219826696"/>
      <w:r>
        <w:t>内容安全评测</w:t>
      </w:r>
      <w:bookmarkEnd w:id="20"/>
      <w:r>
        <w:t>设计</w:t>
      </w:r>
    </w:p>
    <w:p w14:paraId="0259107F">
      <w:pPr>
        <w:pStyle w:val="12"/>
        <w:rPr>
          <w:b w:val="0"/>
          <w:color w:val="auto"/>
        </w:rPr>
      </w:pPr>
      <w:r>
        <w:rPr>
          <w:b w:val="0"/>
          <w:color w:val="auto"/>
        </w:rPr>
        <w:t>在大模型从研发到落地应用的全流程中，内容安全评测作为保障其合规、安全运行的核心环节，提供自动化、体系化的安全评测能力。深度覆盖天津港集团对大模型开展内部上线验证、合规备案自评、第三方安全认证配合，以及模型上线后常态化风险自评估等多元场景的需求，构建从评测执行到风险闭环管理的完整流程。整体评测流程示意如下：</w:t>
      </w:r>
    </w:p>
    <w:p w14:paraId="2DDA883E">
      <w:pPr>
        <w:spacing w:line="240" w:lineRule="auto"/>
        <w:ind w:firstLine="424" w:firstLineChars="177"/>
        <w:rPr>
          <w:rFonts w:ascii="微软雅黑" w:hAnsi="微软雅黑" w:eastAsia="微软雅黑"/>
          <w:b w:val="0"/>
          <w:bCs w:val="0"/>
          <w:color w:val="auto"/>
          <w:sz w:val="24"/>
        </w:rPr>
      </w:pPr>
      <w:r>
        <w:rPr>
          <w:rFonts w:ascii="微软雅黑" w:hAnsi="微软雅黑" w:eastAsia="微软雅黑"/>
          <w:b w:val="0"/>
          <w:bCs w:val="0"/>
          <w:color w:val="auto"/>
          <w:sz w:val="24"/>
        </w:rPr>
        <w:drawing>
          <wp:inline distT="0" distB="0" distL="0" distR="0">
            <wp:extent cx="5495925" cy="2282190"/>
            <wp:effectExtent l="0" t="0" r="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26850" cy="2295436"/>
                    </a:xfrm>
                    <a:prstGeom prst="rect">
                      <a:avLst/>
                    </a:prstGeom>
                    <a:noFill/>
                  </pic:spPr>
                </pic:pic>
              </a:graphicData>
            </a:graphic>
          </wp:inline>
        </w:drawing>
      </w:r>
    </w:p>
    <w:p w14:paraId="33A97D88">
      <w:pPr>
        <w:pStyle w:val="7"/>
      </w:pPr>
      <w:r>
        <w:t>数据集管理</w:t>
      </w:r>
    </w:p>
    <w:p w14:paraId="08418E12">
      <w:pPr>
        <w:pStyle w:val="12"/>
        <w:rPr>
          <w:b w:val="0"/>
          <w:color w:val="auto"/>
        </w:rPr>
      </w:pPr>
      <w:r>
        <w:rPr>
          <w:b w:val="0"/>
          <w:color w:val="auto"/>
        </w:rPr>
        <w:t>为评测任务打造全方位、多层次的测试用例与场景支撑体系。深度锚定大模型安全国标要求，融合团队多年深耕安全与大模型领域的技术实践，沉淀形成海量安全评测数据集样本库，从根本上减轻天津港集团自行构建专业数据集的人力、时间与技术成本负担。围绕内容安全核心诉求，系统内置两大核心评测数据集类型，实现业务合规性校验与对抗性攻击防护弱点自测的双向覆盖。</w:t>
      </w:r>
    </w:p>
    <w:p w14:paraId="2C67B9E9">
      <w:pPr>
        <w:pStyle w:val="7"/>
      </w:pPr>
      <w:r>
        <w:t>评测任务管理</w:t>
      </w:r>
    </w:p>
    <w:p w14:paraId="2253EB06">
      <w:pPr>
        <w:pStyle w:val="12"/>
        <w:rPr>
          <w:b w:val="0"/>
          <w:color w:val="auto"/>
        </w:rPr>
      </w:pPr>
      <w:r>
        <w:rPr>
          <w:b w:val="0"/>
          <w:color w:val="auto"/>
        </w:rPr>
        <w:t>打造全流程闭环、智能化管控的评测任务管理体系，覆盖任务从创建到收尾的完整生命周期：</w:t>
      </w:r>
    </w:p>
    <w:p w14:paraId="086C14AF">
      <w:pPr>
        <w:pStyle w:val="12"/>
        <w:rPr>
          <w:b w:val="0"/>
          <w:color w:val="auto"/>
        </w:rPr>
      </w:pPr>
      <w:r>
        <w:rPr>
          <w:b w:val="0"/>
          <w:color w:val="auto"/>
        </w:rPr>
        <w:t>任务创建：提供可视化任务配置界面，支持快速选择评测数据集、评测模型、裁判模型等核心参数，满足自动化、常态化评测需求。支持创建开启护栏的内容安全评测任务，验证护栏能力启用后整体内容安全防护水平。</w:t>
      </w:r>
    </w:p>
    <w:p w14:paraId="35622656">
      <w:pPr>
        <w:pStyle w:val="12"/>
        <w:ind w:firstLine="420"/>
        <w:rPr>
          <w:b w:val="0"/>
          <w:color w:val="auto"/>
        </w:rPr>
      </w:pPr>
      <w:r>
        <w:rPr>
          <w:b w:val="0"/>
          <w:color w:val="auto"/>
          <w:spacing wpsCustomData:val="0" w:val="4"/>
        </w:rPr>
        <w:t>进度追踪：搭建任务进度可视化看板，实时呈现任务整</w:t>
      </w:r>
      <w:r>
        <w:rPr>
          <w:b w:val="0"/>
          <w:color w:val="auto"/>
        </w:rPr>
        <w:t>体进度。</w:t>
      </w:r>
    </w:p>
    <w:p w14:paraId="116583E4">
      <w:pPr>
        <w:pStyle w:val="12"/>
        <w:rPr>
          <w:b w:val="0"/>
          <w:color w:val="auto"/>
        </w:rPr>
      </w:pPr>
      <w:r>
        <w:rPr>
          <w:b w:val="0"/>
          <w:color w:val="auto"/>
        </w:rPr>
        <w:t>结果查询：构建多维度结果查询体系，支持按被测模型、裁判模型、任务状态、关键字等条件检索；提供列表、任务详情、结果概览等视图，满足不同场景下结果分析需求，助力快速定位模型风险点。</w:t>
      </w:r>
    </w:p>
    <w:p w14:paraId="7E8182B6">
      <w:pPr>
        <w:pStyle w:val="12"/>
        <w:rPr>
          <w:b w:val="0"/>
          <w:color w:val="auto"/>
        </w:rPr>
      </w:pPr>
      <w:r>
        <w:rPr>
          <w:b w:val="0"/>
          <w:color w:val="auto"/>
        </w:rPr>
        <w:t>报告导出：自动生成结构化、可视化评测报告，涵盖评测结果、评测基准、评测原则、评测目标、评测维度等内容，快速归档评测任务结果。</w:t>
      </w:r>
    </w:p>
    <w:p w14:paraId="49808BDC">
      <w:pPr>
        <w:pStyle w:val="7"/>
      </w:pPr>
      <w:r>
        <w:t>裁判大模型智能分析</w:t>
      </w:r>
    </w:p>
    <w:p w14:paraId="6382479E">
      <w:pPr>
        <w:pStyle w:val="12"/>
        <w:rPr>
          <w:b w:val="0"/>
          <w:color w:val="auto"/>
        </w:rPr>
      </w:pPr>
      <w:r>
        <w:rPr>
          <w:b w:val="0"/>
          <w:color w:val="auto"/>
        </w:rPr>
        <w:t>依托系统自动化任务调度与裁判大模型智能分析，构建端到端的大模型输出内容评测链路：</w:t>
      </w:r>
    </w:p>
    <w:p w14:paraId="18026A4B">
      <w:pPr>
        <w:pStyle w:val="12"/>
        <w:rPr>
          <w:b w:val="0"/>
          <w:color w:val="auto"/>
        </w:rPr>
      </w:pPr>
      <w:r>
        <w:rPr>
          <w:b w:val="0"/>
          <w:color w:val="auto"/>
        </w:rPr>
        <w:t>自动化内容抓取：通过与业务大模型深度对接，自动抓取模型</w:t>
      </w:r>
      <w:r>
        <w:rPr>
          <w:b w:val="0"/>
          <w:color w:val="auto"/>
          <w:spacing wpsCustomData:val="0" w:val="4"/>
        </w:rPr>
        <w:t>在测试用例场景下的输出内容，确保评测覆盖模型实际应</w:t>
      </w:r>
      <w:r>
        <w:rPr>
          <w:b w:val="0"/>
          <w:color w:val="auto"/>
        </w:rPr>
        <w:t>用场景。</w:t>
      </w:r>
    </w:p>
    <w:p w14:paraId="2FB47652">
      <w:pPr>
        <w:pStyle w:val="12"/>
        <w:rPr>
          <w:b w:val="0"/>
          <w:color w:val="auto"/>
        </w:rPr>
      </w:pPr>
      <w:r>
        <w:rPr>
          <w:b w:val="0"/>
          <w:color w:val="auto"/>
        </w:rPr>
        <w:t>深度语义分析与违规识别：裁判大模型基于先进大语言模型技术底座，融合多模态语义理解、上下文关联分析等能力，对抓取的“用户输入——模型回复文本流”进行深度解析：</w:t>
      </w:r>
    </w:p>
    <w:p w14:paraId="392BEEAC">
      <w:pPr>
        <w:pStyle w:val="12"/>
        <w:rPr>
          <w:b w:val="0"/>
          <w:color w:val="auto"/>
        </w:rPr>
      </w:pPr>
      <w:r>
        <w:rPr>
          <w:b w:val="0"/>
          <w:color w:val="auto"/>
        </w:rPr>
        <w:t>支持上下文关联判断（如识别对话逻辑一致性、意图演变中的违规风险）；</w:t>
      </w:r>
    </w:p>
    <w:p w14:paraId="65700FE1">
      <w:pPr>
        <w:pStyle w:val="12"/>
        <w:rPr>
          <w:b w:val="0"/>
          <w:color w:val="auto"/>
        </w:rPr>
      </w:pPr>
      <w:r>
        <w:rPr>
          <w:b w:val="0"/>
          <w:color w:val="auto"/>
        </w:rPr>
        <w:t>具备复杂语义穿透能力（精准识别隐喻、谐音、指代等隐蔽违规表述）；</w:t>
      </w:r>
    </w:p>
    <w:p w14:paraId="171E0AF3">
      <w:pPr>
        <w:pStyle w:val="12"/>
        <w:rPr>
          <w:b w:val="0"/>
          <w:color w:val="auto"/>
        </w:rPr>
      </w:pPr>
      <w:r>
        <w:rPr>
          <w:b w:val="0"/>
          <w:color w:val="auto"/>
        </w:rPr>
        <w:t>最终，对生成内容执行违规类型精准分类，输出包含风险等级、判定依据、原始提示词、业务模型原始回复结果等内容的详细判定结果。</w:t>
      </w:r>
    </w:p>
    <w:p w14:paraId="7696C871">
      <w:pPr>
        <w:pStyle w:val="12"/>
        <w:rPr>
          <w:b w:val="0"/>
          <w:color w:val="auto"/>
        </w:rPr>
      </w:pPr>
      <w:r>
        <w:rPr>
          <w:b w:val="0"/>
          <w:color w:val="auto"/>
        </w:rPr>
        <w:t>对比传统审核方式的核心优势：相较于依赖固定规则与关键词库的传统审核方案，裁判大模型具备三大核心突破：</w:t>
      </w:r>
    </w:p>
    <w:p w14:paraId="119491C9">
      <w:pPr>
        <w:pStyle w:val="12"/>
        <w:rPr>
          <w:b w:val="0"/>
          <w:color w:val="auto"/>
        </w:rPr>
      </w:pPr>
      <w:r>
        <w:rPr>
          <w:b w:val="0"/>
          <w:color w:val="auto"/>
        </w:rPr>
        <w:t>理解能力升级：突破规则局限性，精准识别复杂句式、隐含语义、跨语境违规内容，解决传统方案“漏判、误判”难题；</w:t>
      </w:r>
    </w:p>
    <w:p w14:paraId="0BA993E1">
      <w:pPr>
        <w:pStyle w:val="12"/>
        <w:rPr>
          <w:b w:val="0"/>
          <w:color w:val="auto"/>
        </w:rPr>
      </w:pPr>
      <w:r>
        <w:rPr>
          <w:b w:val="0"/>
          <w:color w:val="auto"/>
        </w:rPr>
        <w:t>标准统一化：基于大模型对语言的通用理解能力，实现不同场景、不同业务模型评测标准的统一，避免人工审核的主观差异；</w:t>
      </w:r>
    </w:p>
    <w:p w14:paraId="039AD9A3">
      <w:pPr>
        <w:pStyle w:val="12"/>
        <w:rPr>
          <w:b w:val="0"/>
          <w:color w:val="auto"/>
        </w:rPr>
      </w:pPr>
      <w:r>
        <w:rPr>
          <w:b w:val="0"/>
          <w:color w:val="auto"/>
        </w:rPr>
        <w:t>效率成本优化：在海量内容评测场景中（如百万级对话数据校验），可自动化完成评测结果审核任务，检测效率提升数倍，同时大幅降低人工审核人力投入，让专业审核人员聚焦高复杂、高价值风险研判。</w:t>
      </w:r>
    </w:p>
    <w:p w14:paraId="669BECD9">
      <w:pPr>
        <w:pStyle w:val="12"/>
        <w:rPr>
          <w:b w:val="0"/>
          <w:color w:val="auto"/>
        </w:rPr>
      </w:pPr>
      <w:r>
        <w:rPr>
          <w:b w:val="0"/>
          <w:color w:val="auto"/>
        </w:rPr>
        <w:t>风险数据管理</w:t>
      </w:r>
    </w:p>
    <w:p w14:paraId="06DA283D">
      <w:pPr>
        <w:pStyle w:val="12"/>
        <w:rPr>
          <w:b w:val="0"/>
          <w:color w:val="auto"/>
        </w:rPr>
      </w:pPr>
      <w:r>
        <w:rPr>
          <w:b w:val="0"/>
          <w:color w:val="auto"/>
        </w:rPr>
        <w:t>风险数据管理功能用于集中归档各评测任务产生的风险结果，支持按被评测模型、提示词类型、裁判模型、处置状态等条件快速检索结果，提供风险结果模型Top5统计、风险评测结果统计、风险提示词类型占比统计等结果。</w:t>
      </w:r>
    </w:p>
    <w:p w14:paraId="7A4652BF">
      <w:pPr>
        <w:pStyle w:val="12"/>
        <w:rPr>
          <w:b w:val="0"/>
          <w:color w:val="auto"/>
        </w:rPr>
      </w:pPr>
      <w:r>
        <w:rPr>
          <w:b w:val="0"/>
          <w:color w:val="auto"/>
        </w:rPr>
        <w:t>支持查看风险结果详情，详情中可同时查询评测提示词内容、业务大模型回复内容以及判断模型的判断依据，便于人工快速二次确认风险点所在。支持人工标识风险结果的处置状态，便于事后跟进处置进展，支持人工修正评测结果风险状态标识。</w:t>
      </w:r>
    </w:p>
    <w:p w14:paraId="76E15821">
      <w:pPr>
        <w:pStyle w:val="12"/>
        <w:rPr>
          <w:b w:val="0"/>
          <w:color w:val="auto"/>
        </w:rPr>
      </w:pPr>
      <w:r>
        <w:rPr>
          <w:b w:val="0"/>
          <w:color w:val="auto"/>
        </w:rPr>
        <w:t>针对评测结果中的风险内容，支持快速添加干预回复库，利用内容安全护栏的实时防护能力，为评测的风险点及时配置拦截处置策略，避免风险扩散。</w:t>
      </w:r>
    </w:p>
    <w:p w14:paraId="745D4EB9">
      <w:pPr>
        <w:pStyle w:val="12"/>
        <w:rPr>
          <w:b w:val="0"/>
          <w:color w:val="auto"/>
        </w:rPr>
      </w:pPr>
      <w:r>
        <w:rPr>
          <w:b w:val="0"/>
          <w:color w:val="auto"/>
        </w:rPr>
        <w:t>评测结果对比</w:t>
      </w:r>
    </w:p>
    <w:p w14:paraId="3AA1F7F5">
      <w:pPr>
        <w:pStyle w:val="12"/>
        <w:rPr>
          <w:b w:val="0"/>
          <w:color w:val="auto"/>
        </w:rPr>
      </w:pPr>
      <w:r>
        <w:rPr>
          <w:b w:val="0"/>
          <w:color w:val="auto"/>
        </w:rPr>
        <w:t>评测结果对比是模型安全性能的量化分析工具，核心为通过多模型间对比与单模型</w:t>
      </w:r>
      <w:r>
        <w:rPr>
          <w:b w:val="0"/>
          <w:color w:val="auto"/>
        </w:rPr>
        <w:t>历史记录</w:t>
      </w:r>
      <w:r>
        <w:rPr>
          <w:b w:val="0"/>
          <w:color w:val="auto"/>
        </w:rPr>
        <w:t>对比，直观呈现模型安全能力差异，为模型选型、迭代优化与合规备案提供数据支撑。</w:t>
      </w:r>
    </w:p>
    <w:p w14:paraId="72B24971">
      <w:pPr>
        <w:pStyle w:val="12"/>
        <w:rPr>
          <w:b w:val="0"/>
          <w:color w:val="auto"/>
        </w:rPr>
      </w:pPr>
      <w:r>
        <w:rPr>
          <w:b w:val="0"/>
          <w:color w:val="auto"/>
        </w:rPr>
        <w:t>多模型间对比：支持多模型基于同一数据集开展评测，快速生成对比分析结果，清晰地呈现不同模型的安全性能优劣；支持导出比对明细结果，适配深度分析需求。</w:t>
      </w:r>
    </w:p>
    <w:p w14:paraId="3CB87348">
      <w:pPr>
        <w:pStyle w:val="12"/>
        <w:rPr>
          <w:b w:val="0"/>
          <w:color w:val="auto"/>
        </w:rPr>
      </w:pPr>
      <w:r>
        <w:rPr>
          <w:b w:val="0"/>
          <w:color w:val="auto"/>
        </w:rPr>
        <w:t>单模型历史记录对比：追溯同模型不同时期的历史评测记录，对比核心安全指标变化趋势，验证迭代优化效果，同样支持导出明细结果。</w:t>
      </w:r>
    </w:p>
    <w:p w14:paraId="0B2B551F">
      <w:pPr>
        <w:pStyle w:val="12"/>
        <w:rPr>
          <w:b w:val="0"/>
          <w:color w:val="auto"/>
        </w:rPr>
      </w:pPr>
      <w:r>
        <w:rPr>
          <w:b w:val="0"/>
          <w:color w:val="auto"/>
        </w:rPr>
        <w:t>语料安全评估</w:t>
      </w:r>
    </w:p>
    <w:p w14:paraId="186D3013">
      <w:pPr>
        <w:pStyle w:val="12"/>
        <w:rPr>
          <w:b w:val="0"/>
          <w:color w:val="auto"/>
        </w:rPr>
      </w:pPr>
      <w:r>
        <w:rPr>
          <w:b w:val="0"/>
          <w:color w:val="auto"/>
        </w:rPr>
        <w:t>语料安全评估是面向模型训练数据的前置安全检测模块，聚焦训练数据“入口安全”，通过自动化检测与合规化处理，识别语料中潜藏的违规内容、敏感信息、偏见性表述、版权侵权风险等问题，避免污染训练数据导致模型输出安全隐患，从源头保障模型训练过程的合规性与输出内容的安全性。</w:t>
      </w:r>
    </w:p>
    <w:p w14:paraId="2FDA0A04">
      <w:pPr>
        <w:pStyle w:val="12"/>
        <w:rPr>
          <w:b w:val="0"/>
          <w:color w:val="auto"/>
        </w:rPr>
      </w:pPr>
      <w:r>
        <w:rPr>
          <w:b w:val="0"/>
          <w:color w:val="auto"/>
        </w:rPr>
        <w:t>语料安全评估核心检测能力覆盖训练语料、微调语料、知识库文档等场景，支持 doc、docx、pdf、ppt、pptx、xls、xlsx、txt、csv、jpg、jpeg、png 等主流文件格式风险检测，搭载专用风险检测大模型，覆盖涉政、暴恐、色情、谣言、歧视等核心风险类型。</w:t>
      </w:r>
    </w:p>
    <w:p w14:paraId="5ABF0F5F">
      <w:pPr>
        <w:pStyle w:val="12"/>
        <w:rPr>
          <w:b w:val="0"/>
          <w:color w:val="auto"/>
        </w:rPr>
      </w:pPr>
      <w:r>
        <w:rPr>
          <w:b w:val="0"/>
          <w:color w:val="auto"/>
        </w:rPr>
        <w:t>支持生成专业化评估报告，包含基本信息、风险排行、优化建议、风险明细等内容，评估报告提供XLS、DOC 格式下载。</w:t>
      </w:r>
    </w:p>
    <w:p w14:paraId="6EBD9A22">
      <w:pPr>
        <w:pStyle w:val="6"/>
        <w:numPr>
          <w:ilvl w:val="0"/>
          <w:numId w:val="11"/>
        </w:numPr>
        <w:ind w:left="0" w:leftChars="0" w:firstLine="640" w:firstLineChars="0"/>
        <w:rPr>
          <w:b w:val="0"/>
          <w:bdr w:val="none" w:sz="0" w:space="0"/>
        </w:rPr>
      </w:pPr>
      <w:bookmarkStart w:id="21" w:name="_Toc219826697"/>
      <w:r>
        <w:t>模型管理</w:t>
      </w:r>
      <w:bookmarkEnd w:id="21"/>
      <w:r>
        <w:t>设计</w:t>
      </w:r>
    </w:p>
    <w:p w14:paraId="7ACEF665">
      <w:pPr>
        <w:pStyle w:val="12"/>
        <w:rPr>
          <w:b w:val="0"/>
          <w:color w:val="auto"/>
        </w:rPr>
      </w:pPr>
      <w:r>
        <w:rPr>
          <w:b w:val="0"/>
          <w:color w:val="auto"/>
        </w:rPr>
        <w:t>模型管理功能聚焦天津港集团业务模型的全生命周期管控，构建</w:t>
      </w:r>
      <w:r>
        <w:rPr>
          <w:rFonts w:hint="eastAsia"/>
          <w:b w:val="0"/>
          <w:color w:val="auto"/>
          <w:lang w:eastAsia="zh-CN"/>
        </w:rPr>
        <w:t>“</w:t>
      </w:r>
      <w:r>
        <w:rPr>
          <w:b w:val="0"/>
          <w:color w:val="auto"/>
        </w:rPr>
        <w:t>接入－资产－漏洞</w:t>
      </w:r>
      <w:r>
        <w:rPr>
          <w:rFonts w:hint="eastAsia"/>
          <w:b w:val="0"/>
          <w:color w:val="auto"/>
          <w:lang w:eastAsia="zh-CN"/>
        </w:rPr>
        <w:t>”</w:t>
      </w:r>
      <w:r>
        <w:rPr>
          <w:b w:val="0"/>
          <w:color w:val="auto"/>
        </w:rPr>
        <w:t>一体化管理体系，实现多类型模型的快速集成、资产信息的全局掌控及漏洞风险的精准治理，为大模型安全合规应用提供全流程支撑。</w:t>
      </w:r>
    </w:p>
    <w:p w14:paraId="70CF7E32">
      <w:pPr>
        <w:pStyle w:val="12"/>
        <w:rPr>
          <w:b w:val="0"/>
          <w:color w:val="auto"/>
        </w:rPr>
      </w:pPr>
      <w:r>
        <w:rPr>
          <w:b w:val="0"/>
          <w:color w:val="auto"/>
        </w:rPr>
        <w:t>模型接入</w:t>
      </w:r>
    </w:p>
    <w:p w14:paraId="63292798">
      <w:pPr>
        <w:pStyle w:val="12"/>
        <w:rPr>
          <w:b w:val="0"/>
          <w:color w:val="auto"/>
        </w:rPr>
      </w:pPr>
      <w:r>
        <w:rPr>
          <w:b w:val="0"/>
          <w:color w:val="auto"/>
        </w:rPr>
        <w:t>模型接入模块致力于打破多模型集成的技术壁垒，降低天津港集团接入不同类型大模型的复杂度，支持按需完成模型的添加、更新与切换，适配多样化的模型开发框架与API接口规范，实现“一键式”高效集成。</w:t>
      </w:r>
    </w:p>
    <w:p w14:paraId="3CE0CD8F">
      <w:pPr>
        <w:pStyle w:val="12"/>
        <w:rPr>
          <w:b w:val="0"/>
          <w:color w:val="auto"/>
        </w:rPr>
      </w:pPr>
      <w:r>
        <w:rPr>
          <w:b w:val="0"/>
          <w:color w:val="auto"/>
        </w:rPr>
        <w:t>针对不同接口规范的模型，提供差异化接入方案：</w:t>
      </w:r>
    </w:p>
    <w:p w14:paraId="173AAA8A">
      <w:pPr>
        <w:pStyle w:val="12"/>
        <w:rPr>
          <w:b w:val="0"/>
          <w:color w:val="auto"/>
        </w:rPr>
      </w:pPr>
      <w:r>
        <w:rPr>
          <w:rStyle w:val="39"/>
        </w:rPr>
        <w:t>OpenAI规范兼容接入</w:t>
      </w:r>
      <w:r>
        <w:rPr>
          <w:b w:val="0"/>
          <w:color w:val="auto"/>
        </w:rPr>
        <w:t>：对于API请求与响应结构完全符合OpenAI官方标准的大模型服务，仅需录入模型服务的API地址与API</w:t>
      </w:r>
      <w:r>
        <w:rPr>
          <w:b w:val="0"/>
          <w:color w:val="auto"/>
        </w:rPr>
        <w:t>＿</w:t>
      </w:r>
      <w:r>
        <w:rPr>
          <w:b w:val="0"/>
          <w:color w:val="auto"/>
        </w:rPr>
        <w:t>KEY，系统即可自动完成接口适配与参数映射，实现零配置快速接入，整个过程无需额外技术开发。</w:t>
      </w:r>
    </w:p>
    <w:p w14:paraId="40AD1D77">
      <w:pPr>
        <w:pStyle w:val="12"/>
        <w:rPr>
          <w:b w:val="0"/>
          <w:color w:val="auto"/>
        </w:rPr>
      </w:pPr>
      <w:r>
        <w:rPr>
          <w:rStyle w:val="39"/>
        </w:rPr>
        <w:t>非OpenAI规范灵活配置</w:t>
      </w:r>
      <w:r>
        <w:rPr>
          <w:b w:val="0"/>
          <w:color w:val="auto"/>
        </w:rPr>
        <w:t>：针对采用自定义接口规范或其他开发框架的大模型服务，提供“进阶参数辅助填写工具”，配置请求方法、参数格式、取值规则等核心信息，满足个性化接入需求。</w:t>
      </w:r>
    </w:p>
    <w:p w14:paraId="4C5033F3">
      <w:pPr>
        <w:pStyle w:val="12"/>
        <w:rPr>
          <w:b w:val="0"/>
          <w:color w:val="auto"/>
        </w:rPr>
      </w:pPr>
      <w:r>
        <w:rPr>
          <w:b w:val="0"/>
          <w:color w:val="auto"/>
        </w:rPr>
        <w:t>模型资产管理</w:t>
      </w:r>
    </w:p>
    <w:p w14:paraId="3BE5C353">
      <w:pPr>
        <w:pStyle w:val="12"/>
        <w:rPr>
          <w:b w:val="0"/>
          <w:color w:val="auto"/>
        </w:rPr>
      </w:pPr>
      <w:r>
        <w:rPr>
          <w:b w:val="0"/>
          <w:color w:val="auto"/>
        </w:rPr>
        <w:t>模型资产管理模块以自动化资产梳理为核心，构建覆盖模型全链路的资产信息图谱，实现模型资产的可视化、精细化管理。</w:t>
      </w:r>
    </w:p>
    <w:p w14:paraId="78831D04">
      <w:pPr>
        <w:pStyle w:val="12"/>
        <w:rPr>
          <w:b w:val="0"/>
          <w:color w:val="auto"/>
        </w:rPr>
      </w:pPr>
      <w:r>
        <w:rPr>
          <w:b w:val="0"/>
          <w:color w:val="auto"/>
        </w:rPr>
        <w:t>支持自动感知接入模型相关的模型主机、组件、版本、开放端口、URL等资产相关属性，覆盖服务开发、中间件、向量数据库、推理框架等模型组件（包括但不限于AnythingLLM、Dify、Ollam</w:t>
      </w:r>
      <w:r>
        <w:rPr>
          <w:b w:val="0"/>
          <w:color w:val="auto"/>
          <w:spacing wpsCustomData:val="0" w:val="4"/>
        </w:rPr>
        <w:t>a等），并支持为其关联漏洞信息，构建资产维度的统</w:t>
      </w:r>
      <w:r>
        <w:rPr>
          <w:b w:val="0"/>
          <w:color w:val="auto"/>
        </w:rPr>
        <w:t>一看板。</w:t>
      </w:r>
    </w:p>
    <w:p w14:paraId="58FD28CC">
      <w:pPr>
        <w:pStyle w:val="12"/>
        <w:rPr>
          <w:b w:val="0"/>
          <w:color w:val="auto"/>
        </w:rPr>
      </w:pPr>
      <w:r>
        <w:rPr>
          <w:b w:val="0"/>
          <w:color w:val="auto"/>
        </w:rPr>
        <w:t>模型漏洞管理</w:t>
      </w:r>
    </w:p>
    <w:p w14:paraId="03130E2D">
      <w:pPr>
        <w:pStyle w:val="12"/>
        <w:rPr>
          <w:b w:val="0"/>
          <w:color w:val="auto"/>
        </w:rPr>
      </w:pPr>
      <w:r>
        <w:rPr>
          <w:b w:val="0"/>
          <w:color w:val="auto"/>
        </w:rPr>
        <w:t>模型漏洞管理模块聚焦接入模型的安全风险治理，通过主动扫描与动态监测相结合的方式，全面盘点模型资产的漏洞隐患，构建漏洞全生命周期管理体系，为模型安全加固提供精准依据。</w:t>
      </w:r>
    </w:p>
    <w:p w14:paraId="0D1395B0">
      <w:pPr>
        <w:pStyle w:val="6"/>
        <w:numPr>
          <w:ilvl w:val="0"/>
          <w:numId w:val="11"/>
        </w:numPr>
        <w:ind w:left="0" w:leftChars="0" w:firstLine="640" w:firstLineChars="0"/>
        <w:rPr>
          <w:b w:val="0"/>
          <w:bdr w:val="none" w:sz="0" w:space="0"/>
        </w:rPr>
      </w:pPr>
      <w:bookmarkStart w:id="22" w:name="_Toc219826698"/>
      <w:r>
        <w:t>可视化展示与分析</w:t>
      </w:r>
      <w:bookmarkEnd w:id="22"/>
      <w:r>
        <w:t>设计</w:t>
      </w:r>
    </w:p>
    <w:p w14:paraId="43624367">
      <w:pPr>
        <w:pStyle w:val="12"/>
        <w:rPr>
          <w:b w:val="0"/>
          <w:color w:val="auto"/>
        </w:rPr>
      </w:pPr>
      <w:r>
        <w:rPr>
          <w:b w:val="0"/>
          <w:color w:val="auto"/>
        </w:rPr>
        <w:t>可视化展示与分析功能可从宏观和微观维度提供内容安全运营的整体看板，宏观视角通过态势大屏呈现内容安全整体态势，微观视角通过工作台分项展示内容安全评测、安全护栏及模型风险漏洞的结果统计与待处置事项。</w:t>
      </w:r>
    </w:p>
    <w:bookmarkEnd w:id="19"/>
    <w:p w14:paraId="563E1DB8">
      <w:pPr>
        <w:pStyle w:val="2"/>
        <w:numPr>
          <w:ilvl w:val="0"/>
          <w:numId w:val="2"/>
        </w:numPr>
        <w:topLinePunct w:val="0"/>
        <w:ind w:left="0" w:leftChars="0" w:firstLine="640" w:firstLineChars="0"/>
        <w:rPr>
          <w:b w:val="0"/>
          <w:bdr w:val="none" w:sz="0" w:space="0"/>
        </w:rPr>
      </w:pPr>
      <w:r>
        <w:t>平台层建设方案</w:t>
      </w:r>
    </w:p>
    <w:p w14:paraId="28070605">
      <w:pPr>
        <w:pStyle w:val="3"/>
        <w:numPr>
          <w:ilvl w:val="0"/>
          <w:numId w:val="12"/>
        </w:numPr>
        <w:topLinePunct w:val="0"/>
        <w:ind w:left="0" w:leftChars="0" w:firstLine="640" w:firstLineChars="0"/>
        <w:rPr>
          <w:b w:val="0"/>
          <w:bdr w:val="none" w:sz="0" w:space="0"/>
        </w:rPr>
      </w:pPr>
      <w:r>
        <w:t>资产管理中心</w:t>
      </w:r>
    </w:p>
    <w:p w14:paraId="307EB00E">
      <w:pPr>
        <w:pStyle w:val="12"/>
        <w:rPr>
          <w:b w:val="0"/>
          <w:color w:val="auto"/>
        </w:rPr>
      </w:pPr>
      <w:r>
        <w:rPr>
          <w:b w:val="0"/>
          <w:color w:val="auto"/>
        </w:rPr>
        <w:t>资产管理中心作为平台核心支撑模块，为智能体构建提供模型、知识、工具等全类型资产的集中管理、版本控制、权限管控及高效复用能力，确保资产安全可追溯、调用可监控、迭代可优化，为智能体开发提供坚实资源保障。</w:t>
      </w:r>
    </w:p>
    <w:p w14:paraId="0734D272">
      <w:pPr>
        <w:pStyle w:val="4"/>
        <w:numPr>
          <w:ilvl w:val="0"/>
          <w:numId w:val="13"/>
        </w:numPr>
        <w:topLinePunct w:val="0"/>
        <w:ind w:left="0" w:leftChars="0" w:firstLine="640" w:firstLineChars="0"/>
        <w:rPr>
          <w:b w:val="0"/>
          <w:bdr w:val="none" w:sz="0" w:space="0"/>
        </w:rPr>
      </w:pPr>
      <w:r>
        <w:t>模型服务管理</w:t>
      </w:r>
    </w:p>
    <w:p w14:paraId="107A0C39">
      <w:pPr>
        <w:pStyle w:val="12"/>
        <w:rPr>
          <w:b w:val="0"/>
          <w:color w:val="auto"/>
        </w:rPr>
      </w:pPr>
      <w:r>
        <w:rPr>
          <w:b w:val="0"/>
          <w:color w:val="auto"/>
        </w:rPr>
        <w:t>建立</w:t>
      </w:r>
      <w:r>
        <w:rPr>
          <w:rFonts w:hint="eastAsia"/>
          <w:b w:val="0"/>
          <w:color w:val="auto"/>
          <w:lang w:eastAsia="zh-CN"/>
        </w:rPr>
        <w:t>“</w:t>
      </w:r>
      <w:r>
        <w:rPr>
          <w:b w:val="0"/>
          <w:color w:val="auto"/>
        </w:rPr>
        <w:t>模型即服务（Model</w:t>
      </w:r>
      <w:r>
        <w:rPr>
          <w:b w:val="0"/>
          <w:color w:val="auto"/>
        </w:rPr>
        <w:t>－</w:t>
      </w:r>
      <w:r>
        <w:rPr>
          <w:b w:val="0"/>
          <w:color w:val="auto"/>
        </w:rPr>
        <w:t>as</w:t>
      </w:r>
      <w:r>
        <w:rPr>
          <w:b w:val="0"/>
          <w:color w:val="auto"/>
        </w:rPr>
        <w:t>－</w:t>
      </w:r>
      <w:r>
        <w:rPr>
          <w:b w:val="0"/>
          <w:color w:val="auto"/>
        </w:rPr>
        <w:t>a</w:t>
      </w:r>
      <w:r>
        <w:rPr>
          <w:b w:val="0"/>
          <w:color w:val="auto"/>
        </w:rPr>
        <w:t>－</w:t>
      </w:r>
      <w:r>
        <w:rPr>
          <w:b w:val="0"/>
          <w:color w:val="auto"/>
        </w:rPr>
        <w:t>Service）</w:t>
      </w:r>
      <w:r>
        <w:rPr>
          <w:rFonts w:hint="eastAsia"/>
          <w:b w:val="0"/>
          <w:color w:val="auto"/>
          <w:lang w:eastAsia="zh-CN"/>
        </w:rPr>
        <w:t>”</w:t>
      </w:r>
      <w:r>
        <w:rPr>
          <w:b w:val="0"/>
          <w:color w:val="auto"/>
        </w:rPr>
        <w:t>管理体系，实现集团各类模型资源的统一调度与规范供给，适配港口多场景智能应用需求。</w:t>
      </w:r>
    </w:p>
    <w:p w14:paraId="3533B203">
      <w:pPr>
        <w:pStyle w:val="12"/>
        <w:rPr>
          <w:b w:val="0"/>
          <w:color w:val="auto"/>
        </w:rPr>
      </w:pPr>
      <w:r>
        <w:rPr>
          <w:b w:val="0"/>
          <w:color w:val="auto"/>
        </w:rPr>
        <w:t>统一纳管：</w:t>
      </w:r>
      <w:r>
        <w:rPr>
          <w:b w:val="0"/>
          <w:color w:val="auto"/>
        </w:rPr>
        <w:t>平台</w:t>
      </w:r>
      <w:r>
        <w:rPr>
          <w:b w:val="0"/>
          <w:color w:val="auto"/>
        </w:rPr>
        <w:t>能够统一管理和纳管多模态、多类型（传统机器学习模型、生成式大模型等）、多来源（开源社区、商业采购）的异构模型，覆盖港口文本处理、图像识别、设备故障预测、智能调度计划等各类业务场景需求</w:t>
      </w:r>
      <w:r>
        <w:rPr>
          <w:b w:val="0"/>
          <w:color w:val="auto"/>
        </w:rPr>
        <w:t>，按需在平台上部署后，由平台统一管理</w:t>
      </w:r>
      <w:r>
        <w:rPr>
          <w:b w:val="0"/>
          <w:color w:val="auto"/>
        </w:rPr>
        <w:t>。</w:t>
      </w:r>
    </w:p>
    <w:p w14:paraId="1B40E59F">
      <w:pPr>
        <w:pStyle w:val="12"/>
        <w:rPr>
          <w:b w:val="0"/>
          <w:color w:val="auto"/>
        </w:rPr>
      </w:pPr>
      <w:r>
        <w:rPr>
          <w:b w:val="0"/>
          <w:color w:val="auto"/>
        </w:rPr>
        <w:t>定制</w:t>
      </w:r>
      <w:r>
        <w:rPr>
          <w:b w:val="0"/>
          <w:color w:val="auto"/>
        </w:rPr>
        <w:t>化接口：</w:t>
      </w:r>
      <w:r>
        <w:rPr>
          <w:b w:val="0"/>
          <w:color w:val="auto"/>
        </w:rPr>
        <w:t>结合应用需要</w:t>
      </w:r>
      <w:r>
        <w:rPr>
          <w:b w:val="0"/>
          <w:color w:val="auto"/>
        </w:rPr>
        <w:t>将所有纳管的模型封装为具备调用规范的推理API接口，屏蔽底层模型的技术差异、部署环境差异，使上层智能体开发者无需关心模型具体实现细节，可像调用函数一样便捷调用模型能力，提升开发效率。</w:t>
      </w:r>
    </w:p>
    <w:p w14:paraId="23B5D802">
      <w:pPr>
        <w:pStyle w:val="12"/>
        <w:rPr>
          <w:b w:val="0"/>
          <w:i/>
          <w:color w:val="auto"/>
          <w:u w:val="single"/>
        </w:rPr>
      </w:pPr>
      <w:r>
        <w:rPr>
          <w:b w:val="0"/>
          <w:color w:val="auto"/>
        </w:rPr>
        <w:t>灵活部署与版本管理：支持模型多版本管理，允许设置模型发布信息，支持单服务发布多个版本，可按照配置比例随机分配流量至不同版本，支撑A</w:t>
      </w:r>
      <w:r>
        <w:rPr>
          <w:b w:val="0"/>
          <w:color w:val="auto"/>
        </w:rPr>
        <w:t>／</w:t>
      </w:r>
      <w:r>
        <w:rPr>
          <w:b w:val="0"/>
          <w:color w:val="auto"/>
        </w:rPr>
        <w:t>B测试业务；同时支持为多版本设定不同配置条件，自定义运行参数及多规则优先级配置，满足灰度发布等特殊场景需求。</w:t>
      </w:r>
    </w:p>
    <w:p w14:paraId="315271AD">
      <w:pPr>
        <w:pStyle w:val="12"/>
        <w:rPr>
          <w:b w:val="0"/>
          <w:color w:val="auto"/>
        </w:rPr>
      </w:pPr>
      <w:r>
        <w:rPr>
          <w:b w:val="0"/>
          <w:color w:val="auto"/>
        </w:rPr>
        <w:t>资产管理：支持模型资产搜索（模糊匹配）；支持模型资产列表显示，名称、来源、类别、创建者、创建时间；支持空间创建者单个</w:t>
      </w:r>
      <w:r>
        <w:rPr>
          <w:b w:val="0"/>
          <w:color w:val="auto"/>
        </w:rPr>
        <w:t>／</w:t>
      </w:r>
      <w:r>
        <w:rPr>
          <w:b w:val="0"/>
          <w:color w:val="auto"/>
        </w:rPr>
        <w:t>批量删除选中的模型资产，需要支持弹窗二次确认后再执行。支持对模型资产进行分类标签，支持标签的增、删、改。</w:t>
      </w:r>
    </w:p>
    <w:p w14:paraId="42DFD376">
      <w:pPr>
        <w:pStyle w:val="12"/>
        <w:rPr>
          <w:b w:val="0"/>
          <w:color w:val="auto"/>
        </w:rPr>
      </w:pPr>
      <w:r>
        <w:rPr>
          <w:b w:val="0"/>
          <w:color w:val="auto"/>
        </w:rPr>
        <w:t>详情显示：支持显示模型资产的基础详情页：1）基本信息：名称、来源、类别、创建者、创建时间；2）该模型历史操作记录：操作任务、状态、关联子任务、操作时间、操作人。</w:t>
      </w:r>
    </w:p>
    <w:p w14:paraId="122C9700">
      <w:pPr>
        <w:pStyle w:val="4"/>
        <w:numPr>
          <w:ilvl w:val="0"/>
          <w:numId w:val="13"/>
        </w:numPr>
        <w:topLinePunct w:val="0"/>
        <w:ind w:left="0" w:leftChars="0" w:firstLine="640" w:firstLineChars="0"/>
        <w:rPr>
          <w:b w:val="0"/>
          <w:bdr w:val="none" w:sz="0" w:space="0"/>
        </w:rPr>
      </w:pPr>
      <w:r>
        <w:t>知识资产管理</w:t>
      </w:r>
    </w:p>
    <w:p w14:paraId="6DDF96B4">
      <w:pPr>
        <w:pStyle w:val="12"/>
        <w:rPr>
          <w:b w:val="0"/>
          <w:color w:val="auto"/>
        </w:rPr>
      </w:pPr>
      <w:r>
        <w:rPr>
          <w:b w:val="0"/>
          <w:color w:val="auto"/>
        </w:rPr>
        <w:t>知识库管理模块是数字员工系统的核心基础设施，承载着将原始数据转化为可被智能体高效利用的结构化知识资产的全链路职责。通过构建端到端的知识库全生命周期管理流程，涵盖数据接入、索引构建、知识检索直至持续迭代的完整闭环，实现从数据接入到知识应用的自动化与智能化处理，为智能体提供稳定且高质量的知识支持。</w:t>
      </w:r>
    </w:p>
    <w:p w14:paraId="35A5792B">
      <w:pPr>
        <w:pStyle w:val="6"/>
        <w:numPr>
          <w:ilvl w:val="0"/>
          <w:numId w:val="14"/>
        </w:numPr>
        <w:ind w:left="0" w:leftChars="0" w:firstLine="640" w:firstLineChars="0"/>
        <w:rPr>
          <w:b w:val="0"/>
          <w:bdr w:val="none" w:sz="0" w:space="0"/>
        </w:rPr>
      </w:pPr>
      <w:bookmarkStart w:id="23" w:name="_Toc223189792"/>
      <w:r>
        <w:t>数据接入与预处理</w:t>
      </w:r>
      <w:bookmarkEnd w:id="23"/>
    </w:p>
    <w:p w14:paraId="2826312D">
      <w:pPr>
        <w:pStyle w:val="12"/>
        <w:rPr>
          <w:b w:val="0"/>
          <w:color w:val="auto"/>
        </w:rPr>
      </w:pPr>
      <w:r>
        <w:rPr>
          <w:b w:val="0"/>
          <w:color w:val="auto"/>
        </w:rPr>
        <w:t>数据接入是知识库建设的起点，其质量直接决定后续检索与推理的上限。支持多格式文档的批量上传和增量上传两种接入模式，这两种模式协同运作，确保知识库内容与业务实际保持同步。</w:t>
      </w:r>
    </w:p>
    <w:p w14:paraId="5C395AEC">
      <w:pPr>
        <w:pStyle w:val="12"/>
        <w:rPr>
          <w:b w:val="0"/>
          <w:color w:val="auto"/>
        </w:rPr>
      </w:pPr>
      <w:r>
        <w:rPr>
          <w:b w:val="0"/>
          <w:color w:val="auto"/>
        </w:rPr>
        <w:t>文档接入后，系统自动进行格式解析，将Word、PDF、PPT、Excel、Markdown、TXT、HTML等多种异构格式统一转换为可处理的结构化文本，从而消除格式差异对后续处理流程的干扰。</w:t>
      </w:r>
    </w:p>
    <w:p w14:paraId="1F61E5D4">
      <w:pPr>
        <w:pStyle w:val="12"/>
        <w:rPr>
          <w:b w:val="0"/>
          <w:color w:val="auto"/>
        </w:rPr>
      </w:pPr>
      <w:r>
        <w:rPr>
          <w:b w:val="0"/>
          <w:color w:val="auto"/>
        </w:rPr>
        <w:t>在预处理环节，系统通过数据清洗功能对解析后的原始文本进行质量治理，具体包括三个层面：</w:t>
      </w:r>
    </w:p>
    <w:p w14:paraId="09BAC48B">
      <w:pPr>
        <w:pStyle w:val="12"/>
        <w:numPr>
          <w:ilvl w:val="0"/>
          <w:numId w:val="15"/>
        </w:numPr>
        <w:ind w:left="442" w:hanging="442" w:firstLineChars="0"/>
        <w:rPr>
          <w:b w:val="0"/>
          <w:color w:val="auto"/>
        </w:rPr>
      </w:pPr>
      <w:r>
        <w:rPr>
          <w:b w:val="0"/>
          <w:color w:val="auto"/>
        </w:rPr>
        <w:t>去除冗余信息，包括清理页眉页脚、重复段落、无意义占位符等噪声内容，以降低知识库的信息冗余度；</w:t>
      </w:r>
    </w:p>
    <w:p w14:paraId="5D12C9C2">
      <w:pPr>
        <w:pStyle w:val="12"/>
        <w:numPr>
          <w:ilvl w:val="0"/>
          <w:numId w:val="15"/>
        </w:numPr>
        <w:ind w:left="442" w:hanging="442" w:firstLineChars="0"/>
        <w:rPr>
          <w:b w:val="0"/>
          <w:color w:val="auto"/>
        </w:rPr>
      </w:pPr>
      <w:r>
        <w:rPr>
          <w:b w:val="0"/>
          <w:color w:val="auto"/>
        </w:rPr>
        <w:t>纠正错误数据，即识别并修正因OCR识别偏差、格式转换失真等原因导致的文本错误，以保障知识内容的准确性；</w:t>
      </w:r>
    </w:p>
    <w:p w14:paraId="34D2F955">
      <w:pPr>
        <w:pStyle w:val="12"/>
        <w:numPr>
          <w:ilvl w:val="0"/>
          <w:numId w:val="15"/>
        </w:numPr>
        <w:ind w:left="442" w:hanging="442" w:firstLineChars="0"/>
        <w:rPr>
          <w:b w:val="0"/>
          <w:color w:val="auto"/>
        </w:rPr>
      </w:pPr>
      <w:r>
        <w:rPr>
          <w:b w:val="0"/>
          <w:color w:val="auto"/>
        </w:rPr>
        <w:t>统一数据格式，即对日期、数字、专业术语等字段进行标准化处理，以消除因表达不一致而导致的检索歧义。</w:t>
      </w:r>
    </w:p>
    <w:p w14:paraId="1CB41443">
      <w:pPr>
        <w:pStyle w:val="12"/>
        <w:rPr>
          <w:b w:val="0"/>
          <w:color w:val="auto"/>
        </w:rPr>
      </w:pPr>
      <w:r>
        <w:rPr>
          <w:b w:val="0"/>
          <w:color w:val="auto"/>
        </w:rPr>
        <w:t>完成数据清洗后，系统对长文档进行智能分段处理，综合考量业务逻辑与语义关联性，将文档拆分为语义完整、边界清晰的知识切片。</w:t>
      </w:r>
    </w:p>
    <w:p w14:paraId="437A14C6">
      <w:pPr>
        <w:pStyle w:val="6"/>
        <w:numPr>
          <w:ilvl w:val="0"/>
          <w:numId w:val="14"/>
        </w:numPr>
        <w:ind w:left="0" w:leftChars="0" w:firstLine="640" w:firstLineChars="0"/>
        <w:rPr>
          <w:b w:val="0"/>
          <w:bdr w:val="none" w:sz="0" w:space="0"/>
        </w:rPr>
      </w:pPr>
      <w:bookmarkStart w:id="24" w:name="_Toc223189793"/>
      <w:r>
        <w:t>知识索引构建</w:t>
      </w:r>
      <w:bookmarkEnd w:id="24"/>
    </w:p>
    <w:p w14:paraId="3D7BBFE1">
      <w:pPr>
        <w:pStyle w:val="12"/>
        <w:rPr>
          <w:b w:val="0"/>
          <w:color w:val="auto"/>
        </w:rPr>
      </w:pPr>
      <w:r>
        <w:rPr>
          <w:b w:val="0"/>
          <w:color w:val="auto"/>
        </w:rPr>
        <w:t>知识索引构建是将预处理后的文本数据转化为可高效检索的知识表示形式的核心环节，决定了知识库的检索能力上限。通过采用向量化索引与知识图谱双轨并行的索引构建策略，两者互为补充，共同支撑多维度的知识检索需求。</w:t>
      </w:r>
    </w:p>
    <w:p w14:paraId="4F7CED4F">
      <w:pPr>
        <w:pStyle w:val="12"/>
        <w:rPr>
          <w:b w:val="0"/>
          <w:color w:val="auto"/>
        </w:rPr>
      </w:pPr>
      <w:r>
        <w:rPr>
          <w:b w:val="0"/>
          <w:color w:val="auto"/>
        </w:rPr>
        <w:t>两种索引机制的协同效应体现在：向量数据库负责语义相似性的广度召回，知识图谱负责实体关系的深度推理。二者结合，可有效提升知识检索的准确性与全面性，弥补单一检索机制的能力盲区。</w:t>
      </w:r>
    </w:p>
    <w:p w14:paraId="06A8CFFC">
      <w:pPr>
        <w:pStyle w:val="6"/>
        <w:numPr>
          <w:ilvl w:val="0"/>
          <w:numId w:val="14"/>
        </w:numPr>
        <w:ind w:left="0" w:leftChars="0" w:firstLine="640" w:firstLineChars="0"/>
        <w:rPr>
          <w:b w:val="0"/>
          <w:bdr w:val="none" w:sz="0" w:space="0"/>
        </w:rPr>
      </w:pPr>
      <w:bookmarkStart w:id="25" w:name="_Toc223189794"/>
      <w:r>
        <w:t>知识检索与增强</w:t>
      </w:r>
      <w:bookmarkEnd w:id="25"/>
    </w:p>
    <w:p w14:paraId="153FB9B0">
      <w:pPr>
        <w:pStyle w:val="12"/>
        <w:rPr>
          <w:b w:val="0"/>
          <w:color w:val="auto"/>
        </w:rPr>
      </w:pPr>
      <w:r>
        <w:rPr>
          <w:b w:val="0"/>
          <w:color w:val="auto"/>
        </w:rPr>
        <w:t>知识检索与增强是知识库能力向上层智能体应用输出的关键通道，直接影响数字员工最终响应结果的质量与业务适配度。</w:t>
      </w:r>
    </w:p>
    <w:p w14:paraId="48C33ED2">
      <w:pPr>
        <w:pStyle w:val="12"/>
        <w:rPr>
          <w:b w:val="0"/>
          <w:color w:val="auto"/>
        </w:rPr>
      </w:pPr>
      <w:r>
        <w:rPr>
          <w:b w:val="0"/>
          <w:color w:val="auto"/>
        </w:rPr>
        <w:t>检索阶段，当用户发起查询时，系统首先通过与索引构建阶段一致的嵌入语言模型，将用户的自然语言查询转换为对应的向量表示，随后与向量数据库中存储的知识索引执行相似性匹配计算，按相关度排序后召回最相关的知识内容。这一过程确保检索结果在语义层面与用户真实意图高度对齐，而非依赖表面关键词的机械匹配。</w:t>
      </w:r>
    </w:p>
    <w:p w14:paraId="054DECBD">
      <w:pPr>
        <w:pStyle w:val="12"/>
        <w:rPr>
          <w:b w:val="0"/>
          <w:color w:val="auto"/>
        </w:rPr>
      </w:pPr>
      <w:r>
        <w:rPr>
          <w:b w:val="0"/>
          <w:color w:val="auto"/>
        </w:rPr>
        <w:t>所有检索结果须附带原文出处标注，支持用户追溯至原始文档，保障知识引用的可信度与可核查性。</w:t>
      </w:r>
    </w:p>
    <w:p w14:paraId="197FB819">
      <w:pPr>
        <w:pStyle w:val="6"/>
        <w:numPr>
          <w:ilvl w:val="0"/>
          <w:numId w:val="14"/>
        </w:numPr>
        <w:ind w:left="0" w:leftChars="0" w:firstLine="640" w:firstLineChars="0"/>
        <w:rPr>
          <w:b w:val="0"/>
          <w:bdr w:val="none" w:sz="0" w:space="0"/>
        </w:rPr>
      </w:pPr>
      <w:bookmarkStart w:id="26" w:name="_Toc223189795"/>
      <w:r>
        <w:t>知识库维护与迭代</w:t>
      </w:r>
      <w:bookmarkEnd w:id="26"/>
    </w:p>
    <w:p w14:paraId="53C65BB7">
      <w:pPr>
        <w:pStyle w:val="12"/>
        <w:rPr>
          <w:b w:val="0"/>
          <w:color w:val="auto"/>
        </w:rPr>
      </w:pPr>
      <w:r>
        <w:rPr>
          <w:b w:val="0"/>
          <w:color w:val="auto"/>
        </w:rPr>
        <w:t>知识库的长期价值取决于其内容能否随业务发展持续保持准确性与时效性。本模块提供覆盖内容维护、版本管理与质量优化</w:t>
      </w:r>
      <w:r>
        <w:rPr>
          <w:b w:val="0"/>
          <w:color w:val="auto"/>
          <w:spacing wpsCustomData:val="0" w:val="4"/>
        </w:rPr>
        <w:t>的完整迭代机制</w:t>
      </w:r>
      <w:r>
        <w:rPr>
          <w:b w:val="0"/>
          <w:color w:val="auto"/>
          <w:spacing wpsCustomData:val="0" w:val="3"/>
        </w:rPr>
        <w:t>，</w:t>
      </w:r>
      <w:r>
        <w:rPr>
          <w:b w:val="0"/>
          <w:color w:val="auto"/>
          <w:spacing wpsCustomData:val="0" w:val="4"/>
        </w:rPr>
        <w:t>确保知识库在全生命周期内持续处于可</w:t>
      </w:r>
      <w:r>
        <w:rPr>
          <w:b w:val="0"/>
          <w:color w:val="auto"/>
        </w:rPr>
        <w:t>用状态。</w:t>
      </w:r>
    </w:p>
    <w:p w14:paraId="7BB96401">
      <w:pPr>
        <w:pStyle w:val="12"/>
        <w:rPr>
          <w:b w:val="0"/>
          <w:color w:val="auto"/>
        </w:rPr>
      </w:pPr>
      <w:r>
        <w:rPr>
          <w:b w:val="0"/>
          <w:color w:val="auto"/>
        </w:rPr>
        <w:t>系统同时支持手动更新与自动更新两种维护模式。手动更新允许知识库管理员通过上传新文档、编辑现有知识条目、删除失效或过期信息等操作，对知识库内容进行精细化管理；自动更新则通过与外部数据源的定期同步机制，实现知识内容的自动化增量刷新，降低人工维护成本，确保时效性要求较高的政策法规、业务规范等内容得到及时更新。</w:t>
      </w:r>
    </w:p>
    <w:p w14:paraId="123E631E">
      <w:pPr>
        <w:pStyle w:val="12"/>
        <w:rPr>
          <w:b w:val="0"/>
          <w:color w:val="auto"/>
        </w:rPr>
      </w:pPr>
      <w:r>
        <w:rPr>
          <w:b w:val="0"/>
          <w:color w:val="auto"/>
        </w:rPr>
        <w:t>同时系统提供完整的知识库版本管理功能，对每次内容变更自动生成版本快照，完整记录更新历史（包括变更内容、变更时间、操作人员等信息），并支持在必要时执行版本回滚操作，将知识库恢复至指定历史版本。这一机制有效防范因误操作或内容质量问题导致的知识库污染风险，为知识库的稳定运行提供安全保障。</w:t>
      </w:r>
    </w:p>
    <w:p w14:paraId="00DB9504">
      <w:pPr>
        <w:pStyle w:val="4"/>
        <w:numPr>
          <w:ilvl w:val="0"/>
          <w:numId w:val="13"/>
        </w:numPr>
        <w:topLinePunct w:val="0"/>
        <w:ind w:left="0" w:leftChars="0" w:firstLine="640" w:firstLineChars="0"/>
        <w:rPr>
          <w:b w:val="0"/>
          <w:bdr w:val="none" w:sz="0" w:space="0"/>
        </w:rPr>
      </w:pPr>
      <w:r>
        <w:t>插件与工具库</w:t>
      </w:r>
    </w:p>
    <w:p w14:paraId="02F075CD">
      <w:pPr>
        <w:pStyle w:val="12"/>
        <w:rPr>
          <w:b w:val="0"/>
          <w:color w:val="auto"/>
        </w:rPr>
      </w:pPr>
      <w:r>
        <w:rPr>
          <w:b w:val="0"/>
          <w:color w:val="auto"/>
        </w:rPr>
        <w:t>构建统一的组件资产库，对智能体开发所需的各类插件和工具实施集中管理与规范化治理，以提高工具复用率，降低开发复杂度。</w:t>
      </w:r>
    </w:p>
    <w:p w14:paraId="5DE3E78E">
      <w:pPr>
        <w:pStyle w:val="12"/>
        <w:rPr>
          <w:b w:val="0"/>
          <w:color w:val="auto"/>
        </w:rPr>
      </w:pPr>
      <w:r>
        <w:rPr>
          <w:b w:val="0"/>
          <w:color w:val="auto"/>
        </w:rPr>
        <w:t>资产类型涵盖：外部系统API工具、自定义函数、Prompt模板等各类组件资产。</w:t>
      </w:r>
    </w:p>
    <w:p w14:paraId="0B370CC3">
      <w:pPr>
        <w:pStyle w:val="12"/>
        <w:rPr>
          <w:b w:val="0"/>
          <w:color w:val="auto"/>
        </w:rPr>
      </w:pPr>
      <w:r>
        <w:rPr>
          <w:b w:val="0"/>
          <w:color w:val="auto"/>
        </w:rPr>
        <w:t>全生命周期管理：支持插件与工具从创建、注册、配置、发布、更新到下架的全生命周期管理，并提供详细的资产描述、使用说明和版本记录等信息。支持插件</w:t>
      </w:r>
      <w:r>
        <w:rPr>
          <w:b w:val="0"/>
          <w:color w:val="auto"/>
        </w:rPr>
        <w:t xml:space="preserve"> </w:t>
      </w:r>
      <w:r>
        <w:rPr>
          <w:rFonts w:hint="eastAsia"/>
          <w:b w:val="0"/>
          <w:color w:val="auto"/>
          <w:lang w:eastAsia="zh-CN"/>
        </w:rPr>
        <w:t>“</w:t>
      </w:r>
      <w:r>
        <w:rPr>
          <w:b w:val="0"/>
          <w:color w:val="auto"/>
        </w:rPr>
        <w:t>部门共享</w:t>
      </w:r>
      <w:r>
        <w:rPr>
          <w:rFonts w:hint="eastAsia"/>
          <w:b w:val="0"/>
          <w:color w:val="auto"/>
          <w:lang w:eastAsia="zh-CN"/>
        </w:rPr>
        <w:t>”“</w:t>
      </w:r>
      <w:r>
        <w:rPr>
          <w:b w:val="0"/>
          <w:color w:val="auto"/>
        </w:rPr>
        <w:t>集团共享</w:t>
      </w:r>
      <w:r>
        <w:rPr>
          <w:rFonts w:hint="eastAsia"/>
          <w:b w:val="0"/>
          <w:color w:val="auto"/>
          <w:lang w:eastAsia="zh-CN"/>
        </w:rPr>
        <w:t>”</w:t>
      </w:r>
      <w:r>
        <w:rPr>
          <w:b w:val="0"/>
          <w:color w:val="auto"/>
        </w:rPr>
        <w:t>等两级权限设置，满足不同范围的复用需求。</w:t>
      </w:r>
    </w:p>
    <w:p w14:paraId="59F15BB9">
      <w:pPr>
        <w:pStyle w:val="12"/>
        <w:rPr>
          <w:b w:val="0"/>
          <w:color w:val="auto"/>
        </w:rPr>
      </w:pPr>
      <w:r>
        <w:rPr>
          <w:b w:val="0"/>
          <w:color w:val="auto"/>
        </w:rPr>
        <w:t>安全与适配管理：支持插件鉴权配置，提供用户级鉴权和API Key鉴权等多种方式，保障插件调用安全。支持配置插件的URL、请求头信息、请求参数和响应参数，实现插件与平台的无缝对接；同</w:t>
      </w:r>
      <w:r>
        <w:rPr>
          <w:b w:val="0"/>
          <w:color w:val="auto"/>
          <w:spacing wpsCustomData:val="0" w:val="4"/>
        </w:rPr>
        <w:t>时对插件进行兼容性测试和适配管理</w:t>
      </w:r>
      <w:r>
        <w:rPr>
          <w:b w:val="0"/>
          <w:color w:val="auto"/>
          <w:spacing wpsCustomData:val="0" w:val="3"/>
        </w:rPr>
        <w:t>，</w:t>
      </w:r>
      <w:r>
        <w:rPr>
          <w:b w:val="0"/>
          <w:color w:val="auto"/>
          <w:spacing wpsCustomData:val="0" w:val="4"/>
        </w:rPr>
        <w:t>确保其在平台内稳</w:t>
      </w:r>
      <w:r>
        <w:rPr>
          <w:b w:val="0"/>
          <w:color w:val="auto"/>
        </w:rPr>
        <w:t>定运行。</w:t>
      </w:r>
    </w:p>
    <w:p w14:paraId="1B589B9B">
      <w:pPr>
        <w:pStyle w:val="3"/>
        <w:numPr>
          <w:ilvl w:val="0"/>
          <w:numId w:val="12"/>
        </w:numPr>
        <w:topLinePunct w:val="0"/>
        <w:ind w:left="0" w:leftChars="0" w:firstLine="640" w:firstLineChars="0"/>
        <w:rPr>
          <w:b w:val="0"/>
          <w:bdr w:val="none" w:sz="0" w:space="0"/>
        </w:rPr>
      </w:pPr>
      <w:r>
        <w:t>智能体开发与编排</w:t>
      </w:r>
    </w:p>
    <w:p w14:paraId="31564328">
      <w:pPr>
        <w:pStyle w:val="12"/>
        <w:rPr>
          <w:b w:val="0"/>
          <w:color w:val="auto"/>
        </w:rPr>
      </w:pPr>
      <w:r>
        <w:rPr>
          <w:b w:val="0"/>
          <w:color w:val="auto"/>
        </w:rPr>
        <w:t>该模块是智能体的</w:t>
      </w:r>
      <w:r>
        <w:rPr>
          <w:rFonts w:hint="eastAsia"/>
          <w:b w:val="0"/>
          <w:color w:val="auto"/>
          <w:lang w:eastAsia="zh-CN"/>
        </w:rPr>
        <w:t>“</w:t>
      </w:r>
      <w:r>
        <w:rPr>
          <w:b w:val="0"/>
          <w:color w:val="auto"/>
        </w:rPr>
        <w:t>开发制造中心</w:t>
      </w:r>
      <w:r>
        <w:rPr>
          <w:rFonts w:hint="eastAsia"/>
          <w:b w:val="0"/>
          <w:color w:val="auto"/>
          <w:lang w:eastAsia="zh-CN"/>
        </w:rPr>
        <w:t>”</w:t>
      </w:r>
      <w:r>
        <w:rPr>
          <w:b w:val="0"/>
          <w:color w:val="auto"/>
        </w:rPr>
        <w:t>，为开发者提供从简单自动化任务到复杂业务流程智能化的全场景开发工具，兼顾易用性与灵活性，支持单智能体、多智能体、工作流等多种开发模式，满足港口不同业务场景的智能应用构建需求。</w:t>
      </w:r>
    </w:p>
    <w:p w14:paraId="555B11B3">
      <w:pPr>
        <w:pStyle w:val="4"/>
        <w:numPr>
          <w:ilvl w:val="0"/>
          <w:numId w:val="16"/>
        </w:numPr>
        <w:topLinePunct w:val="0"/>
        <w:ind w:left="0" w:leftChars="0" w:firstLine="640" w:firstLineChars="0"/>
        <w:rPr>
          <w:b w:val="0"/>
          <w:bdr w:val="none" w:sz="0" w:space="0"/>
        </w:rPr>
      </w:pPr>
      <w:r>
        <w:t>低代码开发</w:t>
      </w:r>
    </w:p>
    <w:p w14:paraId="21C2D466">
      <w:pPr>
        <w:pStyle w:val="12"/>
        <w:rPr>
          <w:b w:val="0"/>
          <w:color w:val="auto"/>
        </w:rPr>
      </w:pPr>
      <w:r>
        <w:rPr>
          <w:b w:val="0"/>
          <w:color w:val="auto"/>
        </w:rPr>
        <w:t>面向业务人员和技术人员，提供低门槛的开发环境，借助可视化、拖拽式操作降低开发难度，实现智能体的快速构建与迭代。</w:t>
      </w:r>
    </w:p>
    <w:p w14:paraId="4A5B14C3">
      <w:pPr>
        <w:pStyle w:val="12"/>
        <w:rPr>
          <w:b w:val="0"/>
          <w:color w:val="auto"/>
        </w:rPr>
      </w:pPr>
      <w:r>
        <w:rPr>
          <w:b w:val="0"/>
          <w:color w:val="auto"/>
        </w:rPr>
        <w:t>可视化配置：提供高性能的DAG图执行引擎，实现用户通过低代码图形化拖拽方式实现工作流应用的编排，将流程定义文件（IR）转换为DAG图，给到引擎执行。提供拖拽式可视化界面，支持开发者通过图形化操作配置智能体基础信息（名称、描述、适用场景等）、关联模型、绑定知识库、调用插件工具、设置提示词等核心要素，无需编写大量代码即可完成智能体搭建。</w:t>
      </w:r>
    </w:p>
    <w:p w14:paraId="2338502A">
      <w:pPr>
        <w:pStyle w:val="12"/>
        <w:rPr>
          <w:b w:val="0"/>
          <w:color w:val="auto"/>
        </w:rPr>
      </w:pPr>
      <w:r>
        <w:rPr>
          <w:b w:val="0"/>
          <w:color w:val="auto"/>
        </w:rPr>
        <w:t>提示词工程支持：内置完善的提示词开发工具，支持提示词撰写、导入示例、变量定义、模型设置、效果预览、历史记录回溯等功能。支持将评估表现优异的提示词设为候选，并提供候选提示词的差异性和效果比较功能；支持构建评估用例集，通过多种评估方法评估提示词质量，帮助开发者筛选最优提示词，提升智能体交互效果。提供丰富的预置提示词模板，涵盖多种应用场景，如对话问答、文案生成等，支持用户快捷引用。用户也可以根据具体需求自定义创建提示词；支持全链路提示词自动优化能力，提供基于分层反馈的提示词修改和基于优化贡献的局部优化算法，实现提示词自优化。</w:t>
      </w:r>
    </w:p>
    <w:p w14:paraId="42680E22">
      <w:pPr>
        <w:pStyle w:val="12"/>
        <w:rPr>
          <w:b w:val="0"/>
          <w:color w:val="auto"/>
        </w:rPr>
      </w:pPr>
      <w:r>
        <w:rPr>
          <w:b w:val="0"/>
          <w:color w:val="auto"/>
        </w:rPr>
        <w:t>预览与调试：支持已构建智能体的实时预览与多轮调试，提供调试详情查看功能，开发者可直观查看智能体的响应结果、知识库检索过程、插件调用情况等，快速定位问题并优化配置。</w:t>
      </w:r>
    </w:p>
    <w:p w14:paraId="2CF31501">
      <w:pPr>
        <w:pStyle w:val="4"/>
        <w:numPr>
          <w:ilvl w:val="0"/>
          <w:numId w:val="16"/>
        </w:numPr>
        <w:topLinePunct w:val="0"/>
        <w:ind w:left="0" w:leftChars="0" w:firstLine="640" w:firstLineChars="0"/>
        <w:rPr>
          <w:b w:val="0"/>
          <w:bdr w:val="none" w:sz="0" w:space="0"/>
        </w:rPr>
      </w:pPr>
      <w:r>
        <w:t>高级编排</w:t>
      </w:r>
    </w:p>
    <w:p w14:paraId="04799B5D">
      <w:pPr>
        <w:pStyle w:val="12"/>
        <w:rPr>
          <w:b w:val="0"/>
          <w:color w:val="auto"/>
        </w:rPr>
      </w:pPr>
      <w:r>
        <w:rPr>
          <w:b w:val="0"/>
          <w:color w:val="auto"/>
        </w:rPr>
        <w:t>具备强大的工作流编排与多智能体协作能力，支持复杂港口业</w:t>
      </w:r>
      <w:r>
        <w:rPr>
          <w:b w:val="0"/>
          <w:color w:val="auto"/>
          <w:spacing wpsCustomData:val="0" w:val="4"/>
        </w:rPr>
        <w:t>务流程的智能化重构，实现多步骤、多角色、多系统的协</w:t>
      </w:r>
      <w:r>
        <w:rPr>
          <w:b w:val="0"/>
          <w:color w:val="auto"/>
        </w:rPr>
        <w:t>同联动。</w:t>
      </w:r>
    </w:p>
    <w:p w14:paraId="4849E3A6">
      <w:pPr>
        <w:pStyle w:val="12"/>
        <w:rPr>
          <w:b w:val="0"/>
          <w:color w:val="auto"/>
        </w:rPr>
      </w:pPr>
      <w:r>
        <w:rPr>
          <w:b w:val="0"/>
          <w:color w:val="auto"/>
        </w:rPr>
        <w:t>可视化工作流编排：提供专业的可视化编排画布，支持开发者拖拽意图识别、分支判断、循环执行、模型调用、知识库检索、插件执行、代码运行、提问交互等各类功能节点，通过连接线定义节点间的执行顺序与数据流，构建符合港口业务逻辑的复杂工作</w:t>
      </w:r>
      <w:r>
        <w:rPr>
          <w:b w:val="0"/>
          <w:color w:val="auto"/>
          <w:spacing wpsCustomData:val="0" w:val="4"/>
        </w:rPr>
        <w:t>流。支持节点参数精细化配置，满足不同业务场景的个性</w:t>
      </w:r>
      <w:r>
        <w:rPr>
          <w:b w:val="0"/>
          <w:color w:val="auto"/>
        </w:rPr>
        <w:t>化需求。</w:t>
      </w:r>
    </w:p>
    <w:p w14:paraId="79B6247C">
      <w:pPr>
        <w:pStyle w:val="12"/>
        <w:rPr>
          <w:b w:val="0"/>
          <w:color w:val="auto"/>
        </w:rPr>
      </w:pPr>
      <w:r>
        <w:rPr>
          <w:b w:val="0"/>
          <w:color w:val="auto"/>
        </w:rPr>
        <w:t>工作流交互式提问：支持通过LLM</w:t>
      </w:r>
      <w:r>
        <w:rPr>
          <w:b w:val="0"/>
          <w:color w:val="auto"/>
        </w:rPr>
        <w:t>＋</w:t>
      </w:r>
      <w:r>
        <w:rPr>
          <w:b w:val="0"/>
          <w:color w:val="auto"/>
        </w:rPr>
        <w:t>前后置护栏处理的技术实现了灵活的交互式提问的功能，并且封装成提问器节点给工作流使用；支持通过自然语言描述的方式配置需要提取的参数信息；支持效果优先和效率优先两种模式，其中效果优先会使用大模型的范式能力对已经提取的参数进行多次校验修正；支持配置参数提取后的交互逻辑，如是否允许用户退出交互、是否开启输出</w:t>
      </w:r>
      <w:r>
        <w:rPr>
          <w:b w:val="0"/>
          <w:color w:val="auto"/>
          <w:spacing wpsCustomData:val="0" w:val="4"/>
        </w:rPr>
        <w:t>参数确认、自定义提取约束、智能追问模式和自定义追问</w:t>
      </w:r>
      <w:r>
        <w:rPr>
          <w:b w:val="0"/>
          <w:color w:val="auto"/>
        </w:rPr>
        <w:t>模式等。</w:t>
      </w:r>
    </w:p>
    <w:p w14:paraId="55AF3F3B">
      <w:pPr>
        <w:pStyle w:val="12"/>
        <w:rPr>
          <w:b w:val="0"/>
          <w:color w:val="auto"/>
        </w:rPr>
      </w:pPr>
      <w:r>
        <w:rPr>
          <w:b w:val="0"/>
          <w:color w:val="auto"/>
        </w:rPr>
        <w:t>多智能体协作配置：支持配置应用于全局控制的LLM，实现自动控制；支持在工作流中配置和调度多个不同功能的智能体（包括平台内开发的智能体与纳管的第三方智能体），实现多智能体协同完成复杂任务；通过提示词的方式，定义子工作流的执行逻辑，调整逻辑等；基于上下文理解与结构化技术，实现控制器意图精准识别和自主追问，支持工作流执行中的中断、跳转、恢复和异常自动处理；基于多Agent分级控制技术，实现跨进程部署多Agent的自主感知、规划调度、信息传递、控制权交接等功能，支持多 Agent的分布式跨层级跳转。</w:t>
      </w:r>
    </w:p>
    <w:p w14:paraId="3F1991CD">
      <w:pPr>
        <w:pStyle w:val="12"/>
        <w:rPr>
          <w:b w:val="0"/>
          <w:color w:val="auto"/>
        </w:rPr>
      </w:pPr>
      <w:r>
        <w:rPr>
          <w:b w:val="0"/>
          <w:color w:val="auto"/>
        </w:rPr>
        <w:t>精细化调试能力：支持工作流试运行与单节点调试，提供节点粒度的调试功能，开发者可单独测试某个节点的运行效果，也可整体运行工作流并查看执行日志，快速定位流程卡点与逻辑错误，提升开发效率。</w:t>
      </w:r>
    </w:p>
    <w:p w14:paraId="52FB375E">
      <w:pPr>
        <w:pStyle w:val="12"/>
        <w:rPr>
          <w:b w:val="0"/>
          <w:color w:val="auto"/>
        </w:rPr>
      </w:pPr>
      <w:r>
        <w:rPr>
          <w:b w:val="0"/>
          <w:color w:val="auto"/>
        </w:rPr>
        <w:t>版本与生命周期管理：支持智能体与工作流的版本管理，记录版本迭代历史，允许回滚至历史版本。在工作流列表中清晰地展示工作流名称、状态（未发布</w:t>
      </w:r>
      <w:r>
        <w:rPr>
          <w:b w:val="0"/>
          <w:color w:val="auto"/>
        </w:rPr>
        <w:t>／</w:t>
      </w:r>
      <w:r>
        <w:rPr>
          <w:b w:val="0"/>
          <w:color w:val="auto"/>
        </w:rPr>
        <w:t>已发布）、编辑时间、创建者等信息，支持工作流的复制、删除、搜索等操作，方便开发者管理各类开发成果。</w:t>
      </w:r>
    </w:p>
    <w:p w14:paraId="0A87FF72">
      <w:pPr>
        <w:pStyle w:val="4"/>
        <w:numPr>
          <w:ilvl w:val="0"/>
          <w:numId w:val="16"/>
        </w:numPr>
        <w:topLinePunct w:val="0"/>
        <w:ind w:left="0" w:leftChars="0" w:firstLine="640" w:firstLineChars="0"/>
        <w:rPr>
          <w:b w:val="0"/>
          <w:bdr w:val="none" w:sz="0" w:space="0"/>
        </w:rPr>
      </w:pPr>
      <w:r>
        <w:t>插件开发支持</w:t>
      </w:r>
    </w:p>
    <w:p w14:paraId="1E5F7A47">
      <w:pPr>
        <w:pStyle w:val="12"/>
        <w:rPr>
          <w:b w:val="0"/>
          <w:color w:val="auto"/>
        </w:rPr>
      </w:pPr>
      <w:r>
        <w:rPr>
          <w:b w:val="0"/>
          <w:color w:val="auto"/>
        </w:rPr>
        <w:t>为开发者提供插件自定义开发能力，满足港口特殊业务场景的工具需求，丰富平台插件资源库。</w:t>
      </w:r>
    </w:p>
    <w:p w14:paraId="4FE2C2AB">
      <w:pPr>
        <w:pStyle w:val="12"/>
        <w:rPr>
          <w:b w:val="0"/>
          <w:color w:val="auto"/>
        </w:rPr>
      </w:pPr>
      <w:r>
        <w:rPr>
          <w:b w:val="0"/>
          <w:color w:val="auto"/>
        </w:rPr>
        <w:t>插件可视化构建：提供插件开发可视化界面，支持开发者配置插件名称、描述、适用场景等基本信息，设置插件URL、鉴权方式、请求头信息、请求参数与响应参数等技术配置，无需复杂编码即可完成基础插件开发；提供常用无需额外开发的预置插件，用户只需将其添加到智能体的应用和工作流中，即可使用扩展功能。</w:t>
      </w:r>
    </w:p>
    <w:p w14:paraId="495301E6">
      <w:pPr>
        <w:pStyle w:val="12"/>
        <w:rPr>
          <w:b w:val="0"/>
          <w:color w:val="auto"/>
        </w:rPr>
      </w:pPr>
      <w:r>
        <w:rPr>
          <w:b w:val="0"/>
          <w:color w:val="auto"/>
        </w:rPr>
        <w:t>代码扩展能力：支持在插件开发中引入代码片段，面向专业开发者提供简单的代码开发能力，脚本节点中的代码封装在函数中</w:t>
      </w:r>
      <w:r>
        <w:rPr>
          <w:b w:val="0"/>
          <w:color w:val="auto"/>
          <w:spacing wpsCustomData:val="0" w:val="4"/>
        </w:rPr>
        <w:t>，返回结果可在后续步骤中引用，满足复杂业务逻辑的实</w:t>
      </w:r>
      <w:r>
        <w:rPr>
          <w:b w:val="0"/>
          <w:color w:val="auto"/>
        </w:rPr>
        <w:t>现需求。</w:t>
      </w:r>
    </w:p>
    <w:p w14:paraId="107C9DFD">
      <w:pPr>
        <w:pStyle w:val="12"/>
        <w:rPr>
          <w:b w:val="0"/>
          <w:color w:val="auto"/>
        </w:rPr>
      </w:pPr>
      <w:r>
        <w:rPr>
          <w:b w:val="0"/>
          <w:color w:val="auto"/>
        </w:rPr>
        <w:t>插件测试与发布：提供插件本地测试功能，支持开发者验证插件的功能完整性、参数正确性、响应及时性；测试通过后可发布至平台插件库，供其他开发者调用，同时支持插件的版本更新与维护。</w:t>
      </w:r>
    </w:p>
    <w:p w14:paraId="10FF0EBC">
      <w:pPr>
        <w:pStyle w:val="12"/>
        <w:rPr>
          <w:b w:val="0"/>
          <w:color w:val="auto"/>
        </w:rPr>
      </w:pPr>
      <w:r>
        <w:rPr>
          <w:b w:val="0"/>
          <w:color w:val="auto"/>
        </w:rPr>
        <w:t>插件管理：插件支持版本记录，方便查看发布历史；支持在插件详情页查看详细的发布记录，以及追溯插件应用于工作流和智能体情况；支持新增和删除插件；支持插件的导入导出；</w:t>
      </w:r>
    </w:p>
    <w:p w14:paraId="23E4EAC3">
      <w:pPr>
        <w:pStyle w:val="12"/>
        <w:rPr>
          <w:b w:val="0"/>
          <w:color w:val="auto"/>
        </w:rPr>
      </w:pPr>
      <w:r>
        <w:rPr>
          <w:b w:val="0"/>
          <w:color w:val="auto"/>
        </w:rPr>
        <w:t>MCP服务：支持灵活拓展，兼容开源社区MCP及自主开发MCP服务的接入；支持对创建后的MCP服务进行卸载、查看、编辑；支持在单智能体和工作流中调用MCP服务。</w:t>
      </w:r>
    </w:p>
    <w:p w14:paraId="20B54FEE">
      <w:pPr>
        <w:pStyle w:val="3"/>
        <w:numPr>
          <w:ilvl w:val="0"/>
          <w:numId w:val="12"/>
        </w:numPr>
        <w:topLinePunct w:val="0"/>
        <w:ind w:left="0" w:leftChars="0" w:firstLine="640" w:firstLineChars="0"/>
        <w:rPr>
          <w:b w:val="0"/>
          <w:bdr w:val="none" w:sz="0" w:space="0"/>
        </w:rPr>
      </w:pPr>
      <w:r>
        <w:t>全链路运营监控</w:t>
      </w:r>
    </w:p>
    <w:p w14:paraId="1498751F">
      <w:pPr>
        <w:pStyle w:val="12"/>
        <w:rPr>
          <w:b w:val="0"/>
          <w:color w:val="auto"/>
        </w:rPr>
      </w:pPr>
      <w:r>
        <w:rPr>
          <w:b w:val="0"/>
          <w:color w:val="auto"/>
        </w:rPr>
        <w:t>该模块为平台稳定运行与智能体持续优化提供全流程保障，实现对智能体开发、部署、使用、迭代全生命周期的可视化监控、安全管控与数据分析，确保平台服务稳定可靠、数据安全合规、应用持续优化。</w:t>
      </w:r>
    </w:p>
    <w:p w14:paraId="37D1EF2B">
      <w:pPr>
        <w:pStyle w:val="4"/>
        <w:numPr>
          <w:ilvl w:val="0"/>
          <w:numId w:val="17"/>
        </w:numPr>
        <w:topLinePunct w:val="0"/>
        <w:ind w:left="0" w:leftChars="0" w:firstLine="640" w:firstLineChars="0"/>
        <w:rPr>
          <w:b w:val="0"/>
          <w:bdr w:val="none" w:sz="0" w:space="0"/>
        </w:rPr>
      </w:pPr>
      <w:r>
        <w:t>可观测性</w:t>
      </w:r>
    </w:p>
    <w:p w14:paraId="0BD11459">
      <w:pPr>
        <w:pStyle w:val="12"/>
        <w:rPr>
          <w:b w:val="0"/>
          <w:color w:val="auto"/>
        </w:rPr>
      </w:pPr>
      <w:r>
        <w:rPr>
          <w:b w:val="0"/>
          <w:color w:val="auto"/>
        </w:rPr>
        <w:t>提供多维度、全链路的监控与分析能力，为平台管理员、应用负责人、开发者提供全面的运行状态洞察，支撑决策优化。</w:t>
      </w:r>
    </w:p>
    <w:p w14:paraId="6F0657FF">
      <w:pPr>
        <w:pStyle w:val="12"/>
        <w:rPr>
          <w:b w:val="0"/>
          <w:color w:val="auto"/>
        </w:rPr>
      </w:pPr>
      <w:r>
        <w:rPr>
          <w:b w:val="0"/>
          <w:color w:val="auto"/>
        </w:rPr>
        <w:t>资源消耗统计：实时追踪和统计平台核心资源使用情况，包括Token消耗量、模型API调用次数、知识库检索频次、插件调用次数、存储资源占用等指标，生成可视化统计报表，为成本控制、容量规划、资源优化提供数据支持。</w:t>
      </w:r>
    </w:p>
    <w:p w14:paraId="616ABE48">
      <w:pPr>
        <w:pStyle w:val="12"/>
        <w:rPr>
          <w:b w:val="0"/>
          <w:color w:val="auto"/>
        </w:rPr>
      </w:pPr>
      <w:r>
        <w:rPr>
          <w:b w:val="0"/>
          <w:color w:val="auto"/>
        </w:rPr>
        <w:t>调用链路追踪：提供智能体交互端到端链路追踪能力，详细记录用户请求从发起至响应的全流程，包括请求参数、模型调用过程、知识库检索细节、插件执行状态、中间结果反馈等信息，帮助开发者快速定位问题、诊断性能瓶颈。</w:t>
      </w:r>
    </w:p>
    <w:p w14:paraId="5712B8AE">
      <w:pPr>
        <w:pStyle w:val="12"/>
        <w:rPr>
          <w:b w:val="0"/>
          <w:color w:val="auto"/>
        </w:rPr>
      </w:pPr>
      <w:r>
        <w:rPr>
          <w:b w:val="0"/>
          <w:color w:val="auto"/>
        </w:rPr>
        <w:t>用户行为分析：收集并分析用户与智能体的交互数据，包括用户查询内容、使用频率、交互时长、满意度反馈等，洞察用户意图与使用习惯，识别高频需求与潜在痛点，为智能体功能迭代、知识库优化、提示词改进提供方向。</w:t>
      </w:r>
    </w:p>
    <w:p w14:paraId="0443D3F7">
      <w:pPr>
        <w:pStyle w:val="12"/>
        <w:rPr>
          <w:b w:val="0"/>
          <w:color w:val="auto"/>
        </w:rPr>
      </w:pPr>
      <w:r>
        <w:rPr>
          <w:b w:val="0"/>
          <w:color w:val="auto"/>
        </w:rPr>
        <w:t>响应质量评估：建立智能体响应质量评估体系，从准确性、相关性、完整性、及时性等维度对输出内容进行量化评估。支持构建评估用例集，自动或人工对智能体响应结果进行打分，生成质量评估报告，帮助开发者识别薄弱环节并持续优化。</w:t>
      </w:r>
    </w:p>
    <w:p w14:paraId="39275BA9">
      <w:pPr>
        <w:pStyle w:val="12"/>
        <w:rPr>
          <w:b w:val="0"/>
          <w:color w:val="auto"/>
        </w:rPr>
      </w:pPr>
      <w:r>
        <w:rPr>
          <w:b w:val="0"/>
          <w:color w:val="auto"/>
        </w:rPr>
        <w:t>资产调用分析：独立统计知识库、插件工具、模型等核心资产的调用频次、调用时长、调用成功率等指标，评估资产的使用价值与性能表现，为资产优化、淘汰低效资产、推广优质资产提供数据依据。</w:t>
      </w:r>
    </w:p>
    <w:p w14:paraId="35F42D53">
      <w:pPr>
        <w:pStyle w:val="4"/>
        <w:numPr>
          <w:ilvl w:val="0"/>
          <w:numId w:val="17"/>
        </w:numPr>
        <w:topLinePunct w:val="0"/>
        <w:ind w:left="0" w:leftChars="0" w:firstLine="640" w:firstLineChars="0"/>
        <w:rPr>
          <w:b w:val="0"/>
          <w:bdr w:val="none" w:sz="0" w:space="0"/>
        </w:rPr>
      </w:pPr>
      <w:r>
        <w:t>安全与鉴权</w:t>
      </w:r>
    </w:p>
    <w:p w14:paraId="737B9534">
      <w:pPr>
        <w:pStyle w:val="12"/>
        <w:rPr>
          <w:b w:val="0"/>
          <w:color w:val="auto"/>
        </w:rPr>
      </w:pPr>
      <w:r>
        <w:rPr>
          <w:b w:val="0"/>
          <w:color w:val="auto"/>
        </w:rPr>
        <w:t>构建多层次、纵深防御的安全体系，严格保障港口业务数据安</w:t>
      </w:r>
      <w:r>
        <w:rPr>
          <w:b w:val="0"/>
          <w:color w:val="auto"/>
          <w:spacing wpsCustomData:val="0" w:val="5"/>
        </w:rPr>
        <w:t>全</w:t>
      </w:r>
      <w:r>
        <w:rPr>
          <w:b w:val="0"/>
          <w:color w:val="auto"/>
          <w:spacing wpsCustomData:val="0" w:val="4"/>
        </w:rPr>
        <w:t>、</w:t>
      </w:r>
      <w:r>
        <w:rPr>
          <w:b w:val="0"/>
          <w:color w:val="auto"/>
          <w:spacing wpsCustomData:val="0" w:val="5"/>
        </w:rPr>
        <w:t>平台运行安全与内容合规</w:t>
      </w:r>
      <w:r>
        <w:rPr>
          <w:b w:val="0"/>
          <w:color w:val="auto"/>
          <w:spacing wpsCustomData:val="0" w:val="4"/>
        </w:rPr>
        <w:t>，</w:t>
      </w:r>
      <w:r>
        <w:rPr>
          <w:b w:val="0"/>
          <w:color w:val="auto"/>
          <w:spacing wpsCustomData:val="0" w:val="5"/>
        </w:rPr>
        <w:t>满</w:t>
      </w:r>
      <w:r>
        <w:rPr>
          <w:b w:val="0"/>
          <w:color w:val="auto"/>
          <w:spacing wpsCustomData:val="0" w:val="4"/>
        </w:rPr>
        <w:t>足</w:t>
      </w:r>
      <w:r>
        <w:rPr>
          <w:b w:val="0"/>
          <w:color w:val="auto"/>
          <w:spacing wpsCustomData:val="0" w:val="5"/>
        </w:rPr>
        <w:t>“</w:t>
      </w:r>
      <w:r>
        <w:rPr>
          <w:b w:val="0"/>
          <w:color w:val="auto"/>
          <w:spacing wpsCustomData:val="0" w:val="4"/>
        </w:rPr>
        <w:t>数据不出内</w:t>
      </w:r>
      <w:r>
        <w:rPr>
          <w:b w:val="0"/>
          <w:color w:val="auto"/>
          <w:spacing wpsCustomData:val="0" w:val="5"/>
        </w:rPr>
        <w:t>网”</w:t>
      </w:r>
      <w:r>
        <w:rPr>
          <w:b w:val="0"/>
          <w:color w:val="auto"/>
          <w:spacing wpsCustomData:val="0" w:val="4"/>
        </w:rPr>
        <w:t>的核</w:t>
      </w:r>
      <w:r>
        <w:rPr>
          <w:b w:val="0"/>
          <w:color w:val="auto"/>
        </w:rPr>
        <w:t>心要求。</w:t>
      </w:r>
    </w:p>
    <w:p w14:paraId="6717D3BD">
      <w:pPr>
        <w:pStyle w:val="12"/>
        <w:rPr>
          <w:b w:val="0"/>
          <w:color w:val="auto"/>
        </w:rPr>
      </w:pPr>
      <w:r>
        <w:rPr>
          <w:b w:val="0"/>
          <w:color w:val="auto"/>
        </w:rPr>
        <w:t>数据安全管控：构建高效的数据权限控制体系，实现对业务数据及知识库内容的分级授权访问。严格限定数据访问范围，确保敏感数据仅限授权人员查看与使用；通过内网环境部署、数据加密传输及存储、外网访问隔离等措施，防止敏感数据外泄，同时支持便捷访问外网资源，平衡使用便利性与数据安全性。</w:t>
      </w:r>
    </w:p>
    <w:p w14:paraId="1822F093">
      <w:pPr>
        <w:pStyle w:val="12"/>
        <w:rPr>
          <w:b w:val="0"/>
          <w:color w:val="auto"/>
        </w:rPr>
      </w:pPr>
      <w:r>
        <w:rPr>
          <w:b w:val="0"/>
          <w:color w:val="auto"/>
        </w:rPr>
        <w:t>内容安全保障：内置敏感词过滤系统，针对港口业务相关的敏感信息（如商业机密、客户隐私、安全保密信息等）实施实时检测与拦截；支持管理员对模型输出内容进行人工审核，可设置内容审核流程，确保生成内容合规、准确。</w:t>
      </w:r>
    </w:p>
    <w:p w14:paraId="0F73F4FF">
      <w:pPr>
        <w:pStyle w:val="12"/>
        <w:rPr>
          <w:b w:val="0"/>
          <w:color w:val="auto"/>
        </w:rPr>
      </w:pPr>
      <w:r>
        <w:rPr>
          <w:b w:val="0"/>
          <w:color w:val="auto"/>
        </w:rPr>
        <w:t>细化权限管理：严格实施基于角色的权限控制，按组织（集团本部、平台公司、码头公司等）用户层级划分权限，实现对平台功能（开发、编排、运维、管理等）、资产资源（模型、知识库、插件等）及数据信息的精细化权限分配。支持多租户隔离机制，确保不同租户的数据与应用相互独立、互不干扰，满足集团多层级、多业务单元的使用需求。</w:t>
      </w:r>
    </w:p>
    <w:p w14:paraId="0E8EF7B5">
      <w:pPr>
        <w:pStyle w:val="2"/>
        <w:numPr>
          <w:ilvl w:val="0"/>
          <w:numId w:val="2"/>
        </w:numPr>
        <w:topLinePunct w:val="0"/>
        <w:ind w:left="0" w:leftChars="0" w:firstLine="640" w:firstLineChars="0"/>
        <w:rPr>
          <w:b w:val="0"/>
          <w:bdr w:val="none" w:sz="0" w:space="0"/>
        </w:rPr>
      </w:pPr>
      <w:r>
        <w:t>应用层与交互层需求</w:t>
      </w:r>
    </w:p>
    <w:p w14:paraId="1DC1846B">
      <w:pPr>
        <w:pStyle w:val="12"/>
        <w:rPr>
          <w:b w:val="0"/>
          <w:color w:val="auto"/>
        </w:rPr>
      </w:pPr>
      <w:r>
        <w:rPr>
          <w:b w:val="0"/>
          <w:color w:val="auto"/>
        </w:rPr>
        <w:t>场景牵引，价值落地，应用层是数字员工价值的直接体现，重点建设通用能力与专业场景能力，打造统一的交互入口。</w:t>
      </w:r>
    </w:p>
    <w:p w14:paraId="2401B00D">
      <w:pPr>
        <w:pStyle w:val="3"/>
      </w:pPr>
      <w:r>
        <w:t>5.1 建立开箱即用、标准统一的通用能力</w:t>
      </w:r>
    </w:p>
    <w:p w14:paraId="6FCB9885">
      <w:pPr>
        <w:pStyle w:val="4"/>
        <w:numPr>
          <w:ilvl w:val="0"/>
          <w:numId w:val="18"/>
        </w:numPr>
        <w:topLinePunct w:val="0"/>
        <w:ind w:left="0" w:leftChars="0" w:firstLine="640" w:firstLineChars="0"/>
        <w:rPr>
          <w:b w:val="0"/>
          <w:bdr w:val="none" w:sz="0" w:space="0"/>
        </w:rPr>
      </w:pPr>
      <w:r>
        <w:t>打造智能体门户（统一交互入口）</w:t>
      </w:r>
    </w:p>
    <w:p w14:paraId="70A71030">
      <w:pPr>
        <w:pStyle w:val="12"/>
        <w:rPr>
          <w:b w:val="0"/>
          <w:color w:val="auto"/>
        </w:rPr>
      </w:pPr>
      <w:r>
        <w:rPr>
          <w:b w:val="0"/>
          <w:color w:val="auto"/>
        </w:rPr>
        <w:t>建设全集团统一的数字员工移动端与PC端入口，构建“AI原生”的智能体统一门户平台。</w:t>
      </w:r>
    </w:p>
    <w:p w14:paraId="6C8EC670">
      <w:pPr>
        <w:pStyle w:val="12"/>
        <w:rPr>
          <w:b w:val="0"/>
          <w:color w:val="auto"/>
        </w:rPr>
      </w:pPr>
      <w:r>
        <w:rPr>
          <w:b w:val="0"/>
          <w:color w:val="auto"/>
        </w:rPr>
        <w:t>全面提升交互体验，打破当前单一被动式聊天机器人对话框的访问模式，打造AI原生（AI</w:t>
      </w:r>
      <w:r>
        <w:rPr>
          <w:b w:val="0"/>
          <w:color w:val="auto"/>
        </w:rPr>
        <w:t>－</w:t>
      </w:r>
      <w:r>
        <w:rPr>
          <w:b w:val="0"/>
          <w:color w:val="auto"/>
        </w:rPr>
        <w:t>Native）的动态交互方式。系统应具备意图识别与上下文记忆能力，能精准分析用户角色与业务场景，主动规划展示内容并推送高价值个性化服务。</w:t>
      </w:r>
    </w:p>
    <w:p w14:paraId="5424F49A">
      <w:pPr>
        <w:pStyle w:val="4"/>
        <w:numPr>
          <w:ilvl w:val="0"/>
          <w:numId w:val="18"/>
        </w:numPr>
        <w:topLinePunct w:val="0"/>
        <w:ind w:left="0" w:leftChars="0" w:firstLine="640" w:firstLineChars="0"/>
        <w:rPr>
          <w:b w:val="0"/>
          <w:bdr w:val="none" w:sz="0" w:space="0"/>
        </w:rPr>
      </w:pPr>
      <w:r>
        <w:t>构建动态交互式功能</w:t>
      </w:r>
    </w:p>
    <w:p w14:paraId="28C898D4">
      <w:pPr>
        <w:pStyle w:val="12"/>
        <w:rPr>
          <w:b w:val="0"/>
          <w:color w:val="auto"/>
        </w:rPr>
      </w:pPr>
      <w:r>
        <w:rPr>
          <w:b w:val="0"/>
          <w:color w:val="auto"/>
        </w:rPr>
        <w:t>根据岗位角色需求，构建数字化数据看板与AI智能简报，通过大模型实现岗位核心数据指标态势实时监控与智能归因分析；智能日程与会议助理深度联动日程安排与会议资料，可自动总结会议内容、提炼决策要点，并生成执行任务清单；行业情报动态洞察依托深度搜索技术，定义权威信源并自动检索、概括摘要与精准推送。</w:t>
      </w:r>
    </w:p>
    <w:p w14:paraId="329BD189">
      <w:pPr>
        <w:pStyle w:val="4"/>
        <w:numPr>
          <w:ilvl w:val="0"/>
          <w:numId w:val="18"/>
        </w:numPr>
        <w:topLinePunct w:val="0"/>
        <w:ind w:left="0" w:leftChars="0" w:firstLine="640" w:firstLineChars="0"/>
        <w:rPr>
          <w:b w:val="0"/>
          <w:bdr w:val="none" w:sz="0" w:space="0"/>
        </w:rPr>
      </w:pPr>
      <w:r>
        <w:t>打造静态与动态多源数据融合方案</w:t>
      </w:r>
    </w:p>
    <w:p w14:paraId="3B56BDD3">
      <w:pPr>
        <w:pStyle w:val="12"/>
        <w:rPr>
          <w:b w:val="0"/>
          <w:color w:val="auto"/>
        </w:rPr>
      </w:pPr>
      <w:r>
        <w:rPr>
          <w:b w:val="0"/>
          <w:color w:val="auto"/>
        </w:rPr>
        <w:t>数据融合可将集团数据资产划分为</w:t>
      </w:r>
      <w:r>
        <w:rPr>
          <w:rStyle w:val="22"/>
          <w:b w:val="0"/>
          <w:color w:val="auto"/>
        </w:rPr>
        <w:t>静态非结构化数据</w:t>
      </w:r>
      <w:r>
        <w:rPr>
          <w:b w:val="0"/>
          <w:color w:val="auto"/>
        </w:rPr>
        <w:t>与</w:t>
      </w:r>
      <w:r>
        <w:rPr>
          <w:rStyle w:val="22"/>
          <w:b w:val="0"/>
          <w:color w:val="auto"/>
        </w:rPr>
        <w:t>动态结构化数据</w:t>
      </w:r>
      <w:r>
        <w:rPr>
          <w:b w:val="0"/>
          <w:color w:val="auto"/>
        </w:rPr>
        <w:t>两大类型，对这两类数据制定针对性的接入与处理策略，并在两类数据之间建立统一的语义理解层，支撑智能问答、文件生成、自动化流程及数据分析等上层业务应用。</w:t>
      </w:r>
    </w:p>
    <w:p w14:paraId="1EC24A6A">
      <w:pPr>
        <w:pStyle w:val="12"/>
        <w:rPr>
          <w:b w:val="0"/>
          <w:i/>
          <w:color w:val="auto"/>
          <w:u w:val="single"/>
        </w:rPr>
      </w:pPr>
      <w:r>
        <w:rPr>
          <w:b w:val="0"/>
          <w:color w:val="auto"/>
        </w:rPr>
        <w:t>静态知识库（非结构化数据）：重点对接OA系统、档案系统及本地文件。针对PDF、Word、图片扫描件等非结构化数据，利用OCR与RAG（检索增强生成）技术，实现对公文、合同、技术手册的深度解析与语义检索，解决</w:t>
      </w:r>
      <w:r>
        <w:rPr>
          <w:rFonts w:hint="eastAsia"/>
          <w:b w:val="0"/>
          <w:color w:val="auto"/>
          <w:lang w:eastAsia="zh-CN"/>
        </w:rPr>
        <w:t>“</w:t>
      </w:r>
      <w:r>
        <w:rPr>
          <w:b w:val="0"/>
          <w:color w:val="auto"/>
        </w:rPr>
        <w:t>文档能存但难查</w:t>
      </w:r>
      <w:r>
        <w:rPr>
          <w:rFonts w:hint="eastAsia"/>
          <w:b w:val="0"/>
          <w:color w:val="auto"/>
          <w:lang w:eastAsia="zh-CN"/>
        </w:rPr>
        <w:t>”</w:t>
      </w:r>
      <w:r>
        <w:rPr>
          <w:b w:val="0"/>
          <w:color w:val="auto"/>
        </w:rPr>
        <w:t>的问题。</w:t>
      </w:r>
    </w:p>
    <w:p w14:paraId="67E735D0">
      <w:pPr>
        <w:pStyle w:val="12"/>
        <w:rPr>
          <w:b w:val="0"/>
          <w:color w:val="auto"/>
        </w:rPr>
      </w:pPr>
      <w:r>
        <w:rPr>
          <w:b w:val="0"/>
          <w:color w:val="auto"/>
        </w:rPr>
        <w:t>动态数据推理（结构化数据）：针对生产系统、财务系统中的结构化数据（OLTP</w:t>
      </w:r>
      <w:r>
        <w:rPr>
          <w:b w:val="0"/>
          <w:color w:val="auto"/>
        </w:rPr>
        <w:t>／</w:t>
      </w:r>
      <w:r>
        <w:rPr>
          <w:b w:val="0"/>
          <w:color w:val="auto"/>
        </w:rPr>
        <w:t>OLAP），构建适用于大模型推理的上线数据结构，进一步支撑智能问答、文件生成、自动化流程、数据分析等智能化功能。</w:t>
      </w:r>
    </w:p>
    <w:p w14:paraId="2790EDE4">
      <w:pPr>
        <w:pStyle w:val="5"/>
        <w:numPr>
          <w:ilvl w:val="0"/>
          <w:numId w:val="19"/>
        </w:numPr>
        <w:topLinePunct w:val="0"/>
        <w:ind w:left="0" w:leftChars="0" w:firstLine="640" w:firstLineChars="0"/>
        <w:rPr>
          <w:b w:val="0"/>
          <w:bdr w:val="none" w:sz="0" w:space="0"/>
        </w:rPr>
      </w:pPr>
      <w:bookmarkStart w:id="27" w:name="_Toc223189778"/>
      <w:r>
        <w:t>静态知识库（非结构化数据）</w:t>
      </w:r>
      <w:bookmarkEnd w:id="27"/>
    </w:p>
    <w:p w14:paraId="7E030C0E">
      <w:pPr>
        <w:pStyle w:val="12"/>
        <w:rPr>
          <w:b w:val="0"/>
          <w:color w:val="auto"/>
        </w:rPr>
      </w:pPr>
      <w:r>
        <w:rPr>
          <w:b w:val="0"/>
          <w:color w:val="auto"/>
        </w:rPr>
        <w:t>接入范围：重点对接OA系统、档案系统及本地文件，覆盖公文、合同、技术手册等核心文档资产，解决</w:t>
      </w:r>
      <w:r>
        <w:rPr>
          <w:rFonts w:hint="eastAsia"/>
          <w:b w:val="0"/>
          <w:color w:val="auto"/>
          <w:lang w:eastAsia="zh-CN"/>
        </w:rPr>
        <w:t>“</w:t>
      </w:r>
      <w:r>
        <w:rPr>
          <w:b w:val="0"/>
          <w:color w:val="auto"/>
        </w:rPr>
        <w:t>文档能存但难查</w:t>
      </w:r>
      <w:r>
        <w:rPr>
          <w:rFonts w:hint="eastAsia"/>
          <w:b w:val="0"/>
          <w:color w:val="auto"/>
          <w:lang w:eastAsia="zh-CN"/>
        </w:rPr>
        <w:t>”</w:t>
      </w:r>
      <w:r>
        <w:rPr>
          <w:b w:val="0"/>
          <w:color w:val="auto"/>
        </w:rPr>
        <w:t>的问题。</w:t>
      </w:r>
    </w:p>
    <w:p w14:paraId="55F2792F">
      <w:pPr>
        <w:pStyle w:val="12"/>
        <w:rPr>
          <w:b w:val="0"/>
          <w:color w:val="auto"/>
        </w:rPr>
      </w:pPr>
      <w:r>
        <w:rPr>
          <w:b w:val="0"/>
          <w:color w:val="auto"/>
        </w:rPr>
        <w:t>核心技术能力：</w:t>
      </w:r>
    </w:p>
    <w:p w14:paraId="1F4B3D50">
      <w:pPr>
        <w:pStyle w:val="12"/>
        <w:rPr>
          <w:b w:val="0"/>
          <w:color w:val="auto"/>
        </w:rPr>
      </w:pPr>
      <w:r>
        <w:rPr>
          <w:b w:val="0"/>
          <w:color w:val="auto"/>
        </w:rPr>
        <w:t>文本知识库支持 Word、PDF、PPT、Excel、Markdown、TXT、HTML 等10</w:t>
      </w:r>
      <w:r>
        <w:rPr>
          <w:b w:val="0"/>
          <w:color w:val="auto"/>
        </w:rPr>
        <w:t>＋</w:t>
      </w:r>
      <w:r>
        <w:rPr>
          <w:b w:val="0"/>
          <w:color w:val="auto"/>
        </w:rPr>
        <w:t>种文档格式，单库支持 10</w:t>
      </w:r>
      <w:r>
        <w:rPr>
          <w:b w:val="0"/>
          <w:color w:val="auto"/>
        </w:rPr>
        <w:t>，</w:t>
      </w:r>
      <w:r>
        <w:rPr>
          <w:b w:val="0"/>
          <w:color w:val="auto"/>
        </w:rPr>
        <w:t>000个文档、100万个切片，满足集团大规模历史文档的统一纳管需求。</w:t>
      </w:r>
    </w:p>
    <w:p w14:paraId="2C50A829">
      <w:pPr>
        <w:pStyle w:val="12"/>
        <w:rPr>
          <w:b w:val="0"/>
          <w:color w:val="auto"/>
        </w:rPr>
      </w:pPr>
      <w:r>
        <w:rPr>
          <w:b w:val="0"/>
          <w:color w:val="auto"/>
        </w:rPr>
        <w:t>针对港口业务文档类型多样的特点，提供6种精准切片策略，确保不同类型文档的语义完整性与检索精度：</w:t>
      </w: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8"/>
        <w:gridCol w:w="2967"/>
        <w:gridCol w:w="3946"/>
      </w:tblGrid>
      <w:tr w14:paraId="3FDB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pct"/>
            <w:tcBorders>
              <w:insideH w:val="nil"/>
              <w:insideV w:val="single" w:sz="4" w:space="0"/>
            </w:tcBorders>
            <w:shd w:val="clear" w:color="auto" w:fill="D0CECE"/>
          </w:tcPr>
          <w:p w14:paraId="2D500A7B">
            <w:pPr>
              <w:spacing w:after="0" w:line="278" w:lineRule="auto"/>
              <w:ind w:firstLine="424" w:firstLineChars="177"/>
              <w:jc w:val="center"/>
              <w:rPr>
                <w:rFonts w:ascii="微软雅黑" w:hAnsi="微软雅黑" w:eastAsia="微软雅黑"/>
                <w:b w:val="0"/>
                <w:bCs w:val="0"/>
                <w:color w:val="auto"/>
                <w:sz w:val="24"/>
                <w14:ligatures w14:val="standardContextual"/>
              </w:rPr>
            </w:pPr>
            <w:r>
              <w:rPr>
                <w:rStyle w:val="22"/>
                <w:rFonts w:ascii="微软雅黑" w:hAnsi="微软雅黑" w:eastAsia="微软雅黑"/>
                <w:b w:val="0"/>
                <w:bCs w:val="0"/>
                <w:color w:val="auto"/>
                <w:sz w:val="24"/>
                <w14:ligatures w14:val="standardContextual"/>
              </w:rPr>
              <w:t>切片方法</w:t>
            </w:r>
          </w:p>
        </w:tc>
        <w:tc>
          <w:tcPr>
            <w:tcW w:w="1637" w:type="pct"/>
            <w:tcBorders>
              <w:insideV w:val="single" w:sz="4" w:space="0"/>
            </w:tcBorders>
            <w:shd w:val="clear" w:color="auto" w:fill="D0CECE"/>
          </w:tcPr>
          <w:p w14:paraId="72AEE580">
            <w:pPr>
              <w:spacing w:after="0" w:line="278" w:lineRule="auto"/>
              <w:ind w:firstLine="424" w:firstLineChars="177"/>
              <w:jc w:val="center"/>
              <w:rPr>
                <w:rFonts w:ascii="微软雅黑" w:hAnsi="微软雅黑" w:eastAsia="微软雅黑"/>
                <w:b w:val="0"/>
                <w:bCs w:val="0"/>
                <w:color w:val="auto"/>
                <w:sz w:val="24"/>
                <w14:ligatures w14:val="standardContextual"/>
              </w:rPr>
            </w:pPr>
            <w:r>
              <w:rPr>
                <w:rStyle w:val="22"/>
                <w:rFonts w:ascii="微软雅黑" w:hAnsi="微软雅黑" w:eastAsia="微软雅黑"/>
                <w:b w:val="0"/>
                <w:bCs w:val="0"/>
                <w:color w:val="auto"/>
                <w:sz w:val="24"/>
                <w14:ligatures w14:val="standardContextual"/>
              </w:rPr>
              <w:t>适用港口场景</w:t>
            </w:r>
          </w:p>
        </w:tc>
        <w:tc>
          <w:tcPr>
            <w:tcW w:w="2177" w:type="pct"/>
            <w:tcBorders>
              <w:insideH w:val="nil"/>
              <w:insideV w:val="single" w:sz="4" w:space="0"/>
            </w:tcBorders>
            <w:shd w:val="clear" w:color="auto" w:fill="D0CECE"/>
          </w:tcPr>
          <w:p w14:paraId="3AA75104">
            <w:pPr>
              <w:spacing w:after="0" w:line="278" w:lineRule="auto"/>
              <w:ind w:firstLine="424" w:firstLineChars="177"/>
              <w:jc w:val="center"/>
              <w:rPr>
                <w:rFonts w:ascii="微软雅黑" w:hAnsi="微软雅黑" w:eastAsia="微软雅黑"/>
                <w:b w:val="0"/>
                <w:bCs w:val="0"/>
                <w:color w:val="auto"/>
                <w:sz w:val="24"/>
                <w14:ligatures w14:val="standardContextual"/>
              </w:rPr>
            </w:pPr>
            <w:r>
              <w:rPr>
                <w:rStyle w:val="22"/>
                <w:rFonts w:ascii="微软雅黑" w:hAnsi="微软雅黑" w:eastAsia="微软雅黑"/>
                <w:b w:val="0"/>
                <w:bCs w:val="0"/>
                <w:color w:val="auto"/>
                <w:sz w:val="24"/>
                <w14:ligatures w14:val="standardContextual"/>
              </w:rPr>
              <w:t>核心优势</w:t>
            </w:r>
          </w:p>
        </w:tc>
      </w:tr>
      <w:tr w14:paraId="6D48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pct"/>
            <w:tcBorders>
              <w:insideH w:val="nil"/>
            </w:tcBorders>
            <w:shd w:val="clear" w:color="auto" w:fill="FFFFFF"/>
          </w:tcPr>
          <w:p w14:paraId="724C6280">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General（通用）</w:t>
            </w:r>
          </w:p>
        </w:tc>
        <w:tc>
          <w:tcPr>
            <w:tcW w:w="1637" w:type="pct"/>
            <w:shd w:val="clear" w:color="auto" w:fill="auto"/>
          </w:tcPr>
          <w:p w14:paraId="776BBC43">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长篇报告、管理制度</w:t>
            </w:r>
          </w:p>
        </w:tc>
        <w:tc>
          <w:tcPr>
            <w:tcW w:w="2177" w:type="pct"/>
            <w:tcBorders>
              <w:insideH w:val="nil"/>
            </w:tcBorders>
            <w:shd w:val="clear" w:color="auto" w:fill="FFFFFF"/>
          </w:tcPr>
          <w:p w14:paraId="7B22489A">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保留上下文连贯性，适合大段叙述性文档</w:t>
            </w:r>
          </w:p>
        </w:tc>
      </w:tr>
      <w:tr w14:paraId="0F15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pct"/>
            <w:tcBorders>
              <w:insideH w:val="nil"/>
            </w:tcBorders>
            <w:shd w:val="clear" w:color="auto" w:fill="FFFFFF"/>
          </w:tcPr>
          <w:p w14:paraId="073E0F4C">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Q</w:t>
            </w:r>
            <w:r>
              <w:rPr>
                <w:rFonts w:hint="eastAsia" w:ascii="微软雅黑" w:hAnsi="微软雅黑" w:eastAsia="微软雅黑"/>
                <w:b w:val="0"/>
                <w:bCs w:val="0"/>
                <w:color w:val="auto"/>
                <w:sz w:val="24"/>
                <w:lang w:eastAsia="zh-CN"/>
                <w14:ligatures w14:val="standardContextual"/>
              </w:rPr>
              <w:t>＆</w:t>
            </w:r>
            <w:r>
              <w:rPr>
                <w:rFonts w:ascii="微软雅黑" w:hAnsi="微软雅黑" w:eastAsia="微软雅黑"/>
                <w:b w:val="0"/>
                <w:bCs w:val="0"/>
                <w:color w:val="auto"/>
                <w:sz w:val="24"/>
                <w14:ligatures w14:val="standardContextual"/>
              </w:rPr>
              <w:t>A（问答对）</w:t>
            </w:r>
          </w:p>
        </w:tc>
        <w:tc>
          <w:tcPr>
            <w:tcW w:w="1637" w:type="pct"/>
            <w:shd w:val="clear" w:color="auto" w:fill="auto"/>
          </w:tcPr>
          <w:p w14:paraId="72DD886F">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FAQ、客服对话记录</w:t>
            </w:r>
          </w:p>
        </w:tc>
        <w:tc>
          <w:tcPr>
            <w:tcW w:w="2177" w:type="pct"/>
            <w:tcBorders>
              <w:insideH w:val="nil"/>
            </w:tcBorders>
            <w:shd w:val="clear" w:color="auto" w:fill="FFFFFF"/>
          </w:tcPr>
          <w:p w14:paraId="37C80283">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精准匹配问答场景，提升常见问题响应效率</w:t>
            </w:r>
          </w:p>
        </w:tc>
      </w:tr>
      <w:tr w14:paraId="154CE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pct"/>
            <w:tcBorders>
              <w:insideH w:val="nil"/>
            </w:tcBorders>
            <w:shd w:val="clear" w:color="auto" w:fill="FFFFFF"/>
          </w:tcPr>
          <w:p w14:paraId="37F53992">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Table（表格）</w:t>
            </w:r>
          </w:p>
        </w:tc>
        <w:tc>
          <w:tcPr>
            <w:tcW w:w="1637" w:type="pct"/>
            <w:shd w:val="clear" w:color="auto" w:fill="auto"/>
          </w:tcPr>
          <w:p w14:paraId="55AE628A">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生产数据表、设备台账</w:t>
            </w:r>
          </w:p>
        </w:tc>
        <w:tc>
          <w:tcPr>
            <w:tcW w:w="2177" w:type="pct"/>
            <w:tcBorders>
              <w:insideH w:val="nil"/>
            </w:tcBorders>
            <w:shd w:val="clear" w:color="auto" w:fill="FFFFFF"/>
          </w:tcPr>
          <w:p w14:paraId="1E07336F">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保留表格结构，支持表格转HTML精准解析</w:t>
            </w:r>
          </w:p>
        </w:tc>
      </w:tr>
      <w:tr w14:paraId="1C3A2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pct"/>
            <w:tcBorders>
              <w:insideH w:val="nil"/>
            </w:tcBorders>
            <w:shd w:val="clear" w:color="auto" w:fill="FFFFFF"/>
          </w:tcPr>
          <w:p w14:paraId="41606EE7">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Paper（论文）</w:t>
            </w:r>
          </w:p>
        </w:tc>
        <w:tc>
          <w:tcPr>
            <w:tcW w:w="1637" w:type="pct"/>
            <w:shd w:val="clear" w:color="auto" w:fill="auto"/>
          </w:tcPr>
          <w:p w14:paraId="2B8B6CB6">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技术规范、研究报告</w:t>
            </w:r>
          </w:p>
        </w:tc>
        <w:tc>
          <w:tcPr>
            <w:tcW w:w="2177" w:type="pct"/>
            <w:tcBorders>
              <w:insideH w:val="nil"/>
            </w:tcBorders>
            <w:shd w:val="clear" w:color="auto" w:fill="FFFFFF"/>
          </w:tcPr>
          <w:p w14:paraId="1ED63EF6">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按章节分块，保留文档逻辑层次</w:t>
            </w:r>
          </w:p>
        </w:tc>
      </w:tr>
      <w:tr w14:paraId="1848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pct"/>
            <w:tcBorders>
              <w:insideH w:val="nil"/>
            </w:tcBorders>
            <w:shd w:val="clear" w:color="auto" w:fill="FFFFFF"/>
          </w:tcPr>
          <w:p w14:paraId="7E5F8D8C">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Book（书籍）</w:t>
            </w:r>
          </w:p>
        </w:tc>
        <w:tc>
          <w:tcPr>
            <w:tcW w:w="1637" w:type="pct"/>
            <w:shd w:val="clear" w:color="auto" w:fill="auto"/>
          </w:tcPr>
          <w:p w14:paraId="32C630EA">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操作手册、培训教材</w:t>
            </w:r>
          </w:p>
        </w:tc>
        <w:tc>
          <w:tcPr>
            <w:tcW w:w="2177" w:type="pct"/>
            <w:tcBorders>
              <w:insideH w:val="nil"/>
            </w:tcBorders>
            <w:shd w:val="clear" w:color="auto" w:fill="FFFFFF"/>
          </w:tcPr>
          <w:p w14:paraId="784F60FD">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按目录章节分块，适合长篇结构化文档</w:t>
            </w:r>
          </w:p>
        </w:tc>
      </w:tr>
      <w:tr w14:paraId="0EC9D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pct"/>
            <w:tcBorders>
              <w:insideH w:val="nil"/>
            </w:tcBorders>
            <w:shd w:val="clear" w:color="auto" w:fill="FFFFFF"/>
          </w:tcPr>
          <w:p w14:paraId="39AA014A">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Laws（法律法规）</w:t>
            </w:r>
          </w:p>
        </w:tc>
        <w:tc>
          <w:tcPr>
            <w:tcW w:w="1637" w:type="pct"/>
            <w:shd w:val="clear" w:color="auto" w:fill="auto"/>
          </w:tcPr>
          <w:p w14:paraId="4A003A77">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行业政策、港口法规、合规文件</w:t>
            </w:r>
          </w:p>
        </w:tc>
        <w:tc>
          <w:tcPr>
            <w:tcW w:w="2177" w:type="pct"/>
            <w:tcBorders>
              <w:insideH w:val="nil"/>
            </w:tcBorders>
            <w:shd w:val="clear" w:color="auto" w:fill="FFFFFF"/>
          </w:tcPr>
          <w:p w14:paraId="05CFC51F">
            <w:pPr>
              <w:spacing w:after="160" w:line="278" w:lineRule="auto"/>
              <w:ind w:firstLine="0" w:firstLineChars="0"/>
              <w:jc w:val="center"/>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按条款编号精准分块，支持条款级定位检索</w:t>
            </w:r>
          </w:p>
        </w:tc>
      </w:tr>
    </w:tbl>
    <w:p w14:paraId="70C5C41A">
      <w:pPr>
        <w:pStyle w:val="12"/>
        <w:rPr>
          <w:b w:val="0"/>
          <w:color w:val="auto"/>
        </w:rPr>
      </w:pPr>
      <w:r>
        <w:rPr>
          <w:b w:val="0"/>
          <w:color w:val="auto"/>
        </w:rPr>
        <w:t>知识图谱构建：在向量检索基础上，系统自动对入库文档进行实体提取（人名、机构名、设备名、专业术语等）与关系抽取（属于、包含、位于等），以图数据库形式存储实体关系网络。</w:t>
      </w:r>
    </w:p>
    <w:p w14:paraId="6E00FBE6">
      <w:pPr>
        <w:pStyle w:val="12"/>
        <w:rPr>
          <w:b w:val="0"/>
          <w:color w:val="auto"/>
        </w:rPr>
      </w:pPr>
      <w:r>
        <w:rPr>
          <w:b w:val="0"/>
          <w:color w:val="auto"/>
        </w:rPr>
        <w:t>召回增强：针对长文档开展层次化摘要索引，可显著提升大型文档集合里的跨段落语义召回能力，有效解决传统RAG在长文档场景下召回率不足的问题。</w:t>
      </w:r>
    </w:p>
    <w:p w14:paraId="36CC9A78">
      <w:pPr>
        <w:pStyle w:val="12"/>
        <w:rPr>
          <w:b w:val="0"/>
          <w:color w:val="auto"/>
        </w:rPr>
      </w:pPr>
      <w:r>
        <w:rPr>
          <w:b w:val="0"/>
          <w:color w:val="auto"/>
        </w:rPr>
        <w:t>OCR与质量保障：支持OCR文本识别以及表格转HTML处理，涵盖图片扫描件、纸质档案数字化等场景。鉴于港口历史档案中存在大量低质量扫描件，需构建OCR识别质量评估标准，当识别置信</w:t>
      </w:r>
      <w:r>
        <w:rPr>
          <w:b w:val="0"/>
          <w:color w:val="auto"/>
          <w:spacing wpsCustomData:val="0" w:val="4"/>
        </w:rPr>
        <w:t>度低于阈值时，触发人工校验流程，防止低质量数据污染</w:t>
      </w:r>
      <w:r>
        <w:rPr>
          <w:b w:val="0"/>
          <w:color w:val="auto"/>
        </w:rPr>
        <w:t>知识库。</w:t>
      </w:r>
    </w:p>
    <w:p w14:paraId="624EC76E">
      <w:pPr>
        <w:pStyle w:val="12"/>
        <w:rPr>
          <w:b w:val="0"/>
          <w:color w:val="auto"/>
        </w:rPr>
      </w:pPr>
      <w:r>
        <w:rPr>
          <w:b w:val="0"/>
          <w:color w:val="auto"/>
        </w:rPr>
        <w:t>答案溯源机制：支持对检索结果开展语义重排序，以此优化召回排序质量。所有RAG检索结果必须附带原文出处标注以及置信度说明。</w:t>
      </w:r>
    </w:p>
    <w:p w14:paraId="0345BF00">
      <w:pPr>
        <w:pStyle w:val="12"/>
        <w:rPr>
          <w:b w:val="0"/>
          <w:color w:val="auto"/>
        </w:rPr>
      </w:pPr>
      <w:r>
        <w:rPr>
          <w:b w:val="0"/>
          <w:color w:val="auto"/>
        </w:rPr>
        <w:t>召回测试与验证：支持对知识文档进行召回测试，可配置 TOP K（1</w:t>
      </w:r>
      <w:r>
        <w:rPr>
          <w:b w:val="0"/>
          <w:color w:val="auto"/>
        </w:rPr>
        <w:t>－</w:t>
      </w:r>
      <w:r>
        <w:rPr>
          <w:b w:val="0"/>
          <w:color w:val="auto"/>
        </w:rPr>
        <w:t>10）及 Score 阈值（0</w:t>
      </w:r>
      <w:r>
        <w:rPr>
          <w:b w:val="0"/>
          <w:color w:val="auto"/>
        </w:rPr>
        <w:t>％</w:t>
      </w:r>
      <w:r>
        <w:rPr>
          <w:b w:val="0"/>
          <w:color w:val="auto"/>
        </w:rPr>
        <w:t>–100</w:t>
      </w:r>
      <w:r>
        <w:rPr>
          <w:b w:val="0"/>
          <w:color w:val="auto"/>
        </w:rPr>
        <w:t>％</w:t>
      </w:r>
      <w:r>
        <w:rPr>
          <w:b w:val="0"/>
          <w:color w:val="auto"/>
        </w:rPr>
        <w:t>），在知识库上线前验证检索效果，确保知识库质量达到业务可用标准。</w:t>
      </w:r>
    </w:p>
    <w:p w14:paraId="25BD1607">
      <w:pPr>
        <w:pStyle w:val="5"/>
        <w:numPr>
          <w:ilvl w:val="0"/>
          <w:numId w:val="19"/>
        </w:numPr>
        <w:topLinePunct w:val="0"/>
        <w:ind w:left="0" w:leftChars="0" w:firstLine="640" w:firstLineChars="0"/>
        <w:rPr>
          <w:b w:val="0"/>
          <w:bdr w:val="none" w:sz="0" w:space="0"/>
        </w:rPr>
      </w:pPr>
      <w:bookmarkStart w:id="28" w:name="_Toc223189779"/>
      <w:r>
        <w:t>动态数据推理（结构化数据）</w:t>
      </w:r>
      <w:bookmarkEnd w:id="28"/>
    </w:p>
    <w:p w14:paraId="6202D8C5">
      <w:pPr>
        <w:pStyle w:val="12"/>
        <w:rPr>
          <w:rStyle w:val="22"/>
          <w:rFonts w:hint="eastAsia" w:ascii="仿宋_GB2312" w:hAnsi="仿宋_GB2312" w:eastAsia="仿宋_GB2312" w:cs="仿宋_GB2312"/>
          <w:b w:val="0"/>
          <w:color w:val="auto"/>
        </w:rPr>
      </w:pPr>
      <w:r>
        <w:rPr>
          <w:rStyle w:val="22"/>
          <w:rFonts w:hint="eastAsia" w:ascii="仿宋_GB2312" w:hAnsi="仿宋_GB2312" w:eastAsia="仿宋_GB2312" w:cs="仿宋_GB2312"/>
          <w:b w:val="0"/>
          <w:color w:val="auto"/>
        </w:rPr>
        <w:t>接入范围：针对生产系统、财务系统内的结构化数据，构建适用于大模型推理的数据访问层，为智能问答、数据分析等功能提供支撑。</w:t>
      </w:r>
    </w:p>
    <w:p w14:paraId="2242E053">
      <w:pPr>
        <w:pStyle w:val="12"/>
        <w:rPr>
          <w:rFonts w:hint="eastAsia" w:ascii="仿宋_GB2312" w:hAnsi="仿宋_GB2312" w:eastAsia="仿宋_GB2312" w:cs="仿宋_GB2312"/>
          <w:b w:val="0"/>
          <w:color w:val="auto"/>
        </w:rPr>
      </w:pPr>
      <w:r>
        <w:rPr>
          <w:rStyle w:val="22"/>
          <w:rFonts w:hint="eastAsia" w:ascii="仿宋_GB2312" w:hAnsi="仿宋_GB2312" w:eastAsia="仿宋_GB2312" w:cs="仿宋_GB2312"/>
          <w:b w:val="0"/>
          <w:color w:val="auto"/>
        </w:rPr>
        <w:t>核心技术能力：数据知识</w:t>
      </w:r>
      <w:r>
        <w:rPr>
          <w:rFonts w:hint="eastAsia" w:ascii="仿宋_GB2312" w:hAnsi="仿宋_GB2312" w:eastAsia="仿宋_GB2312" w:cs="仿宋_GB2312"/>
          <w:b w:val="0"/>
          <w:color w:val="auto"/>
        </w:rPr>
        <w:t xml:space="preserve">库支持接入 </w:t>
      </w:r>
      <w:r>
        <w:rPr>
          <w:rStyle w:val="22"/>
          <w:rFonts w:hint="eastAsia" w:ascii="仿宋_GB2312" w:hAnsi="仿宋_GB2312" w:eastAsia="仿宋_GB2312" w:cs="仿宋_GB2312"/>
          <w:b w:val="0"/>
          <w:color w:val="auto"/>
        </w:rPr>
        <w:t>TuGraph、MySQL、Oracle、PostgreSQL、ClickHouse、MongoDB 等20</w:t>
      </w:r>
      <w:r>
        <w:rPr>
          <w:rStyle w:val="22"/>
          <w:rFonts w:hint="eastAsia" w:ascii="仿宋_GB2312" w:hAnsi="仿宋_GB2312" w:eastAsia="仿宋_GB2312" w:cs="仿宋_GB2312"/>
          <w:b w:val="0"/>
          <w:color w:val="auto"/>
        </w:rPr>
        <w:t>＋</w:t>
      </w:r>
      <w:r>
        <w:rPr>
          <w:rStyle w:val="22"/>
          <w:rFonts w:hint="eastAsia" w:ascii="仿宋_GB2312" w:hAnsi="仿宋_GB2312" w:eastAsia="仿宋_GB2312" w:cs="仿宋_GB2312"/>
          <w:b w:val="0"/>
          <w:color w:val="auto"/>
        </w:rPr>
        <w:t>种主流数据库类型</w:t>
      </w:r>
      <w:r>
        <w:rPr>
          <w:rFonts w:hint="eastAsia" w:ascii="仿宋_GB2312" w:hAnsi="仿宋_GB2312" w:eastAsia="仿宋_GB2312" w:cs="仿宋_GB2312"/>
          <w:b w:val="0"/>
          <w:color w:val="auto"/>
        </w:rPr>
        <w:t xml:space="preserve">，同时支持 </w:t>
      </w:r>
      <w:r>
        <w:rPr>
          <w:rStyle w:val="22"/>
          <w:rFonts w:hint="eastAsia" w:ascii="仿宋_GB2312" w:hAnsi="仿宋_GB2312" w:eastAsia="仿宋_GB2312" w:cs="仿宋_GB2312"/>
          <w:b w:val="0"/>
          <w:color w:val="auto"/>
        </w:rPr>
        <w:t>Excel</w:t>
      </w:r>
      <w:r>
        <w:rPr>
          <w:rStyle w:val="22"/>
          <w:rFonts w:hint="eastAsia" w:ascii="仿宋_GB2312" w:hAnsi="仿宋_GB2312" w:eastAsia="仿宋_GB2312" w:cs="仿宋_GB2312"/>
          <w:b w:val="0"/>
          <w:color w:val="auto"/>
        </w:rPr>
        <w:t>／</w:t>
      </w:r>
      <w:r>
        <w:rPr>
          <w:rStyle w:val="22"/>
          <w:rFonts w:hint="eastAsia" w:ascii="仿宋_GB2312" w:hAnsi="仿宋_GB2312" w:eastAsia="仿宋_GB2312" w:cs="仿宋_GB2312"/>
          <w:b w:val="0"/>
          <w:color w:val="auto"/>
        </w:rPr>
        <w:t>ET 文件导入并自动建库建表</w:t>
      </w:r>
      <w:r>
        <w:rPr>
          <w:rFonts w:hint="eastAsia" w:ascii="仿宋_GB2312" w:hAnsi="仿宋_GB2312" w:eastAsia="仿宋_GB2312" w:cs="仿宋_GB2312"/>
          <w:b w:val="0"/>
          <w:color w:val="auto"/>
        </w:rPr>
        <w:t xml:space="preserve">，覆盖集团现有各类生产、财务、设备系统的数据接入需求。单个知识库最多支持 </w:t>
      </w:r>
      <w:r>
        <w:rPr>
          <w:rStyle w:val="22"/>
          <w:rFonts w:hint="eastAsia" w:ascii="仿宋_GB2312" w:hAnsi="仿宋_GB2312" w:eastAsia="仿宋_GB2312" w:cs="仿宋_GB2312"/>
          <w:b w:val="0"/>
          <w:color w:val="auto"/>
        </w:rPr>
        <w:t>10个数据库</w:t>
      </w:r>
      <w:r>
        <w:rPr>
          <w:rStyle w:val="22"/>
          <w:rFonts w:hint="eastAsia" w:ascii="仿宋_GB2312" w:hAnsi="仿宋_GB2312" w:eastAsia="仿宋_GB2312" w:cs="仿宋_GB2312"/>
          <w:b w:val="0"/>
          <w:color w:val="auto"/>
        </w:rPr>
        <w:t>／</w:t>
      </w:r>
      <w:r>
        <w:rPr>
          <w:rStyle w:val="22"/>
          <w:rFonts w:hint="eastAsia" w:ascii="仿宋_GB2312" w:hAnsi="仿宋_GB2312" w:eastAsia="仿宋_GB2312" w:cs="仿宋_GB2312"/>
          <w:b w:val="0"/>
          <w:color w:val="auto"/>
        </w:rPr>
        <w:t>文件、单库最多100张表、总计支持1万张表</w:t>
      </w:r>
      <w:r>
        <w:rPr>
          <w:rFonts w:hint="eastAsia" w:ascii="仿宋_GB2312" w:hAnsi="仿宋_GB2312" w:eastAsia="仿宋_GB2312" w:cs="仿宋_GB2312"/>
          <w:b w:val="0"/>
          <w:color w:val="auto"/>
        </w:rPr>
        <w:t>，满足集团多系统、大规模数据的统一管理。</w:t>
      </w:r>
    </w:p>
    <w:p w14:paraId="7AA4930F">
      <w:pPr>
        <w:pStyle w:val="12"/>
        <w:rPr>
          <w:rFonts w:hint="eastAsia" w:ascii="仿宋_GB2312" w:hAnsi="仿宋_GB2312" w:eastAsia="仿宋_GB2312" w:cs="仿宋_GB2312"/>
          <w:b w:val="0"/>
          <w:bCs w:val="0"/>
          <w:color w:val="auto"/>
          <w:sz w:val="32"/>
          <w:szCs w:val="32"/>
        </w:rPr>
      </w:pPr>
      <w:r>
        <w:rPr>
          <w:rStyle w:val="35"/>
          <w:rFonts w:hint="eastAsia" w:ascii="仿宋_GB2312" w:hAnsi="仿宋_GB2312" w:eastAsia="仿宋_GB2312" w:cs="仿宋_GB2312"/>
          <w:b w:val="0"/>
          <w:bCs w:val="0"/>
          <w:sz w:val="32"/>
          <w:szCs w:val="32"/>
        </w:rPr>
        <w:t>字段语义增强</w:t>
      </w:r>
      <w:r>
        <w:rPr>
          <w:rStyle w:val="22"/>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rPr>
        <w:t>系统自动识别字段类型（文本</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rPr>
        <w:t>数字</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rPr>
        <w:t>日期</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rPr>
        <w:t>布尔），支持对字段值和同义词进行维护，支持表分类与提示词补充配置。</w:t>
      </w:r>
    </w:p>
    <w:p w14:paraId="16AAAE86">
      <w:pPr>
        <w:pStyle w:val="12"/>
        <w:rPr>
          <w:rFonts w:hint="eastAsia" w:ascii="仿宋_GB2312" w:hAnsi="仿宋_GB2312" w:eastAsia="仿宋_GB2312" w:cs="仿宋_GB2312"/>
          <w:b w:val="0"/>
          <w:bCs w:val="0"/>
          <w:color w:val="auto"/>
          <w:sz w:val="32"/>
          <w:szCs w:val="32"/>
        </w:rPr>
      </w:pPr>
      <w:r>
        <w:rPr>
          <w:rStyle w:val="35"/>
          <w:rFonts w:hint="eastAsia" w:ascii="仿宋_GB2312" w:hAnsi="仿宋_GB2312" w:eastAsia="仿宋_GB2312" w:cs="仿宋_GB2312"/>
          <w:b w:val="0"/>
          <w:bCs w:val="0"/>
          <w:sz w:val="32"/>
          <w:szCs w:val="32"/>
        </w:rPr>
        <w:t>性能与合规要求</w:t>
      </w:r>
      <w:r>
        <w:rPr>
          <w:rStyle w:val="22"/>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rPr>
        <w:t>数据访问层需明确查询响应时延上限，并对高频查询建立缓存机制；所有结构化数据的查询操作须经过权限校验，确保数据访问合规可控。</w:t>
      </w:r>
    </w:p>
    <w:p w14:paraId="036A477C">
      <w:pPr>
        <w:pStyle w:val="5"/>
        <w:numPr>
          <w:ilvl w:val="0"/>
          <w:numId w:val="2"/>
        </w:numPr>
        <w:topLinePunct w:val="0"/>
        <w:ind w:left="0" w:leftChars="0" w:firstLine="640" w:firstLineChars="0"/>
        <w:rPr>
          <w:b w:val="0"/>
          <w:bdr w:val="none" w:sz="0" w:space="0"/>
        </w:rPr>
      </w:pPr>
      <w:r>
        <w:t>统一鉴权与安全访问机制</w:t>
      </w:r>
    </w:p>
    <w:p w14:paraId="1F45194B">
      <w:pPr>
        <w:pStyle w:val="12"/>
        <w:rPr>
          <w:b w:val="0"/>
          <w:i/>
          <w:color w:val="auto"/>
          <w:u w:val="single"/>
        </w:rPr>
      </w:pPr>
      <w:r>
        <w:rPr>
          <w:b w:val="0"/>
          <w:color w:val="auto"/>
        </w:rPr>
        <w:t>严格遵循权限继承原则，筑牢知识库访问安全防线。将智能体与集团统一身份认证系统深度打通，在知识库调用、动态数据查询等环节，实时校验操作人员系统权限，从源头防范访问安全隐患。构建数据访问精细化安全管控，确保用户通过AI交互无法获取其在原业务系统中无权限查看的数据，严防因动态推理导致的越权访问，保障数据访问合规可控。</w:t>
      </w:r>
    </w:p>
    <w:p w14:paraId="6835A723">
      <w:pPr>
        <w:pStyle w:val="4"/>
      </w:pPr>
      <w:bookmarkStart w:id="29" w:name="_Toc223189780"/>
      <w:r>
        <w:t>5.1.4 统一鉴权与安全访问机制</w:t>
      </w:r>
      <w:bookmarkEnd w:id="29"/>
    </w:p>
    <w:p w14:paraId="6D59C68C">
      <w:pPr>
        <w:pStyle w:val="12"/>
        <w:rPr>
          <w:b w:val="0"/>
          <w:color w:val="auto"/>
        </w:rPr>
      </w:pPr>
      <w:r>
        <w:rPr>
          <w:b w:val="0"/>
          <w:color w:val="auto"/>
        </w:rPr>
        <w:t>数据安全是系统的核心红线。从</w:t>
      </w:r>
      <w:r>
        <w:rPr>
          <w:rStyle w:val="22"/>
          <w:b w:val="0"/>
          <w:color w:val="auto"/>
        </w:rPr>
        <w:t>权限继承、实时校验、向量层隔离、输入安全、审计追溯</w:t>
      </w:r>
      <w:r>
        <w:rPr>
          <w:b w:val="0"/>
          <w:color w:val="auto"/>
        </w:rPr>
        <w:t>五个维度，构建覆盖全链路的数据访问安全防线。</w:t>
      </w:r>
    </w:p>
    <w:p w14:paraId="2822EB16">
      <w:pPr>
        <w:pStyle w:val="5"/>
        <w:numPr>
          <w:ilvl w:val="0"/>
          <w:numId w:val="20"/>
        </w:numPr>
        <w:topLinePunct w:val="0"/>
        <w:ind w:left="0" w:leftChars="0" w:firstLine="640" w:firstLineChars="0"/>
        <w:rPr>
          <w:b w:val="0"/>
          <w:bdr w:val="none" w:sz="0" w:space="0"/>
        </w:rPr>
      </w:pPr>
      <w:bookmarkStart w:id="30" w:name="_Toc223189781"/>
      <w:r>
        <w:t>权限继承与实时校验</w:t>
      </w:r>
      <w:bookmarkEnd w:id="30"/>
    </w:p>
    <w:p w14:paraId="5EA17924">
      <w:pPr>
        <w:pStyle w:val="12"/>
        <w:rPr>
          <w:b w:val="0"/>
          <w:color w:val="auto"/>
        </w:rPr>
      </w:pPr>
      <w:r>
        <w:rPr>
          <w:b w:val="0"/>
          <w:color w:val="auto"/>
        </w:rPr>
        <w:t>严格遵循</w:t>
      </w:r>
      <w:r>
        <w:rPr>
          <w:rStyle w:val="22"/>
          <w:b w:val="0"/>
          <w:color w:val="auto"/>
        </w:rPr>
        <w:t>权限继承原则</w:t>
      </w:r>
      <w:r>
        <w:rPr>
          <w:b w:val="0"/>
          <w:color w:val="auto"/>
        </w:rPr>
        <w:t>，将智能体与集团统一身份认证系统深度打通。在知识库调用、动态数据查询等各环节，实时校验操作人员的系统权限，确保用户通过AI交互无法获取其在原业务系统中无权限查看的数据，从源头防范访问安全隐患，严防因动态推理导致的越权访问。</w:t>
      </w:r>
    </w:p>
    <w:p w14:paraId="73B14539">
      <w:pPr>
        <w:pStyle w:val="12"/>
        <w:rPr>
          <w:b w:val="0"/>
          <w:color w:val="auto"/>
        </w:rPr>
      </w:pPr>
      <w:r>
        <w:rPr>
          <w:rStyle w:val="22"/>
          <w:b w:val="0"/>
          <w:color w:val="auto"/>
        </w:rPr>
        <w:t>权限同步时效性要求：</w:t>
      </w:r>
      <w:r>
        <w:rPr>
          <w:b w:val="0"/>
          <w:color w:val="auto"/>
        </w:rPr>
        <w:t xml:space="preserve"> AI侧权限须与原业务系统保持同步更新，明确定义权限同步的触发机制（实时推送优先，定时同步为辅）及容错策略，消除权限变更窗口期内的越权访问风险。</w:t>
      </w:r>
    </w:p>
    <w:p w14:paraId="72B9922A">
      <w:pPr>
        <w:pStyle w:val="5"/>
        <w:numPr>
          <w:ilvl w:val="0"/>
          <w:numId w:val="20"/>
        </w:numPr>
        <w:topLinePunct w:val="0"/>
        <w:ind w:left="0" w:leftChars="0" w:firstLine="640" w:firstLineChars="0"/>
        <w:rPr>
          <w:b w:val="0"/>
          <w:bdr w:val="none" w:sz="0" w:space="0"/>
        </w:rPr>
      </w:pPr>
      <w:bookmarkStart w:id="31" w:name="_Toc223189782"/>
      <w:r>
        <w:t>向量知识库的精细化权限隔离</w:t>
      </w:r>
      <w:bookmarkEnd w:id="31"/>
    </w:p>
    <w:p w14:paraId="54295C34">
      <w:pPr>
        <w:pStyle w:val="12"/>
        <w:rPr>
          <w:b w:val="0"/>
          <w:color w:val="auto"/>
        </w:rPr>
      </w:pPr>
      <w:r>
        <w:rPr>
          <w:b w:val="0"/>
          <w:color w:val="auto"/>
        </w:rPr>
        <w:t>针对RAG向量数据库的特殊性，在向量检索层面实现</w:t>
      </w:r>
      <w:r>
        <w:rPr>
          <w:rStyle w:val="22"/>
          <w:b w:val="0"/>
          <w:color w:val="auto"/>
        </w:rPr>
        <w:t>文档级权限过滤</w:t>
      </w:r>
      <w:r>
        <w:rPr>
          <w:b w:val="0"/>
          <w:color w:val="auto"/>
        </w:rPr>
        <w:t>：为每条知识向量附加权限元数据标签（如所属部门、密级、可见角色），在检索时结合用户身份信息进行元数据过滤，确保语义检索结果仅返回用户有权访问的文档内容。</w:t>
      </w:r>
    </w:p>
    <w:p w14:paraId="51C315F9">
      <w:pPr>
        <w:pStyle w:val="12"/>
        <w:rPr>
          <w:b w:val="0"/>
          <w:color w:val="auto"/>
        </w:rPr>
      </w:pPr>
      <w:r>
        <w:rPr>
          <w:rStyle w:val="22"/>
          <w:b w:val="0"/>
          <w:color w:val="auto"/>
        </w:rPr>
        <w:t>知识库权限配置：</w:t>
      </w:r>
      <w:r>
        <w:rPr>
          <w:b w:val="0"/>
          <w:color w:val="auto"/>
        </w:rPr>
        <w:t xml:space="preserve"> 系统支持对每个知识库独立配置</w:t>
      </w:r>
      <w:r>
        <w:rPr>
          <w:rStyle w:val="22"/>
          <w:b w:val="0"/>
          <w:color w:val="auto"/>
        </w:rPr>
        <w:t>可见权限</w:t>
      </w:r>
      <w:r>
        <w:rPr>
          <w:b w:val="0"/>
          <w:color w:val="auto"/>
        </w:rPr>
        <w:t>与</w:t>
      </w:r>
      <w:r>
        <w:rPr>
          <w:rStyle w:val="22"/>
          <w:b w:val="0"/>
          <w:color w:val="auto"/>
        </w:rPr>
        <w:t>可编辑权限</w:t>
      </w:r>
      <w:r>
        <w:rPr>
          <w:b w:val="0"/>
          <w:color w:val="auto"/>
        </w:rPr>
        <w:t>，均可精细化至</w:t>
      </w:r>
      <w:r>
        <w:rPr>
          <w:rStyle w:val="22"/>
          <w:b w:val="0"/>
          <w:color w:val="auto"/>
        </w:rPr>
        <w:t>单用户或用户群组</w:t>
      </w:r>
      <w:r>
        <w:rPr>
          <w:b w:val="0"/>
          <w:color w:val="auto"/>
        </w:rPr>
        <w:t>粒度，与集团统一身份认证体系对齐，从产品层面落实权限隔离要求，从技术层面杜绝因向量相似度匹配导致的隐性越权。</w:t>
      </w:r>
    </w:p>
    <w:p w14:paraId="442EDE8D">
      <w:pPr>
        <w:pStyle w:val="5"/>
        <w:numPr>
          <w:ilvl w:val="0"/>
          <w:numId w:val="20"/>
        </w:numPr>
        <w:topLinePunct w:val="0"/>
        <w:ind w:left="0" w:leftChars="0" w:firstLine="640" w:firstLineChars="0"/>
        <w:rPr>
          <w:b w:val="0"/>
          <w:bdr w:val="none" w:sz="0" w:space="0"/>
        </w:rPr>
      </w:pPr>
      <w:bookmarkStart w:id="32" w:name="_Toc223189783"/>
      <w:r>
        <w:t>输入安全过滤</w:t>
      </w:r>
      <w:bookmarkEnd w:id="32"/>
    </w:p>
    <w:p w14:paraId="551CB30B">
      <w:pPr>
        <w:pStyle w:val="12"/>
        <w:rPr>
          <w:b w:val="0"/>
          <w:color w:val="auto"/>
        </w:rPr>
      </w:pPr>
      <w:r>
        <w:rPr>
          <w:b w:val="0"/>
          <w:color w:val="auto"/>
        </w:rPr>
        <w:t>建立</w:t>
      </w:r>
      <w:r>
        <w:rPr>
          <w:rStyle w:val="22"/>
          <w:b w:val="0"/>
          <w:color w:val="auto"/>
        </w:rPr>
        <w:t>提示词安全过滤与输入校验机制</w:t>
      </w:r>
      <w:r>
        <w:rPr>
          <w:b w:val="0"/>
          <w:color w:val="auto"/>
        </w:rPr>
        <w:t>，对用户输入进行安全检测，防范通过构造特殊提示词绕过权限控制或诱导模型输出敏感</w:t>
      </w:r>
      <w:r>
        <w:rPr>
          <w:b w:val="0"/>
          <w:color w:val="auto"/>
          <w:spacing wpsCustomData:val="0" w:val="10"/>
        </w:rPr>
        <w:t>信息的攻击行为，保障系统在开放交互场景下的安全稳</w:t>
      </w:r>
      <w:r>
        <w:rPr>
          <w:b w:val="0"/>
          <w:color w:val="auto"/>
        </w:rPr>
        <w:t>健运行。</w:t>
      </w:r>
    </w:p>
    <w:p w14:paraId="490D9572">
      <w:pPr>
        <w:pStyle w:val="5"/>
        <w:numPr>
          <w:ilvl w:val="0"/>
          <w:numId w:val="20"/>
        </w:numPr>
        <w:topLinePunct w:val="0"/>
        <w:ind w:left="0" w:leftChars="0" w:firstLine="640" w:firstLineChars="0"/>
        <w:rPr>
          <w:b w:val="0"/>
          <w:bdr w:val="none" w:sz="0" w:space="0"/>
        </w:rPr>
      </w:pPr>
      <w:bookmarkStart w:id="33" w:name="_Toc223189784"/>
      <w:r>
        <w:t>全链路审计日志</w:t>
      </w:r>
      <w:bookmarkEnd w:id="33"/>
    </w:p>
    <w:p w14:paraId="292B1832">
      <w:pPr>
        <w:pStyle w:val="12"/>
        <w:rPr>
          <w:b w:val="0"/>
          <w:color w:val="auto"/>
        </w:rPr>
      </w:pPr>
      <w:r>
        <w:rPr>
          <w:b w:val="0"/>
          <w:color w:val="auto"/>
        </w:rPr>
        <w:t>构建覆盖AI全交互链路的</w:t>
      </w:r>
      <w:r>
        <w:rPr>
          <w:rStyle w:val="22"/>
          <w:b w:val="0"/>
          <w:color w:val="auto"/>
        </w:rPr>
        <w:t>操作审计日志体系</w:t>
      </w:r>
      <w:r>
        <w:rPr>
          <w:b w:val="0"/>
          <w:color w:val="auto"/>
        </w:rPr>
        <w:t>，完整记录每次交互的操作人、操作时间、问询内容、调用数据源及返回结果，形成可追溯、可审查的操作记录。审计日志须满足集团合规管理要</w:t>
      </w:r>
      <w:r>
        <w:rPr>
          <w:b w:val="0"/>
          <w:color w:val="auto"/>
          <w:spacing wpsCustomData:val="0" w:val="4"/>
        </w:rPr>
        <w:t>求，支持按需导出与定期审查，确保数据访问行为全程合</w:t>
      </w:r>
      <w:r>
        <w:rPr>
          <w:b w:val="0"/>
          <w:color w:val="auto"/>
        </w:rPr>
        <w:t>规可控。</w:t>
      </w:r>
    </w:p>
    <w:p w14:paraId="754C1193">
      <w:pPr>
        <w:pStyle w:val="5"/>
        <w:numPr>
          <w:ilvl w:val="0"/>
          <w:numId w:val="20"/>
        </w:numPr>
        <w:topLinePunct w:val="0"/>
        <w:ind w:left="0" w:leftChars="0" w:firstLine="640" w:firstLineChars="0"/>
        <w:rPr>
          <w:b w:val="0"/>
          <w:bdr w:val="none" w:sz="0" w:space="0"/>
        </w:rPr>
      </w:pPr>
      <w:bookmarkStart w:id="34" w:name="_Toc223189785"/>
      <w:r>
        <w:t>差异化权限知识库体系</w:t>
      </w:r>
      <w:bookmarkEnd w:id="34"/>
    </w:p>
    <w:p w14:paraId="024B2553">
      <w:pPr>
        <w:pStyle w:val="12"/>
        <w:rPr>
          <w:b w:val="0"/>
          <w:color w:val="auto"/>
        </w:rPr>
      </w:pPr>
      <w:r>
        <w:rPr>
          <w:b w:val="0"/>
          <w:color w:val="auto"/>
        </w:rPr>
        <w:t>在统一鉴权框架的基础上，平台进一步支持构建差异化权限的知识库体系，从组织架构隔离、角色权限分配、跨租户访问控制</w:t>
      </w:r>
      <w:r>
        <w:rPr>
          <w:b w:val="0"/>
          <w:color w:val="auto"/>
          <w:spacing wpsCustomData:val="0" w:val="4"/>
        </w:rPr>
        <w:t>及个人知识共享四个维度，实现知识资产的安全可控与高</w:t>
      </w:r>
      <w:r>
        <w:rPr>
          <w:b w:val="0"/>
          <w:color w:val="auto"/>
        </w:rPr>
        <w:t>效流转。</w:t>
      </w:r>
    </w:p>
    <w:p w14:paraId="17E38A71">
      <w:pPr>
        <w:pStyle w:val="12"/>
        <w:rPr>
          <w:b w:val="0"/>
          <w:color w:val="auto"/>
        </w:rPr>
      </w:pPr>
      <w:r>
        <w:rPr>
          <w:b w:val="0"/>
          <w:color w:val="auto"/>
        </w:rPr>
        <w:t>多租户独立知识库架构：平台支持按租户维度创建相互独立的知识库空间，各租户数据在存储与检索层面严格隔离，互不干扰。在每个租户内部，可依据组织架构与业务场景需求，分层搭建集团级、领域级及个人级三级知识库体系，适配从集团统一管控、业务条线专业沉淀到个人自主归档的多样化知识管理诉求，形成层次清晰、边界明确的知识资产组织结构。</w:t>
      </w:r>
    </w:p>
    <w:p w14:paraId="0F42C7C1">
      <w:pPr>
        <w:pStyle w:val="12"/>
        <w:rPr>
          <w:b w:val="0"/>
          <w:color w:val="auto"/>
        </w:rPr>
      </w:pPr>
      <w:r>
        <w:rPr>
          <w:b w:val="0"/>
          <w:color w:val="auto"/>
        </w:rPr>
        <w:t>基于角色的差异化操作权限：系统基于角色权限模型（RBAC），为管理员、开发人员、业务人员等不同用户角色配置差异化的操作权限，细分权限粒度涵盖知识库的创建、上传、编辑、审核、查看、导出等核心操作维度。各角色的权限边界清晰定义如下：</w:t>
      </w:r>
    </w:p>
    <w:p w14:paraId="0FF5F229">
      <w:pPr>
        <w:pStyle w:val="12"/>
        <w:numPr>
          <w:ilvl w:val="0"/>
          <w:numId w:val="21"/>
        </w:numPr>
        <w:ind w:left="442" w:hanging="442" w:firstLineChars="0"/>
        <w:rPr>
          <w:b w:val="0"/>
          <w:color w:val="auto"/>
        </w:rPr>
      </w:pPr>
      <w:r>
        <w:rPr>
          <w:b w:val="0"/>
          <w:color w:val="auto"/>
        </w:rPr>
        <w:t>管理员：拥有知识库全量操作权限，负责知识库的创建、权限分配、内容审核及版本管理；</w:t>
      </w:r>
    </w:p>
    <w:p w14:paraId="6957C777">
      <w:pPr>
        <w:pStyle w:val="12"/>
        <w:numPr>
          <w:ilvl w:val="0"/>
          <w:numId w:val="21"/>
        </w:numPr>
        <w:ind w:left="442" w:hanging="442" w:firstLineChars="0"/>
        <w:rPr>
          <w:b w:val="0"/>
          <w:color w:val="auto"/>
        </w:rPr>
      </w:pPr>
      <w:r>
        <w:rPr>
          <w:b w:val="0"/>
          <w:color w:val="auto"/>
        </w:rPr>
        <w:t>开发人员：具备知识库配置与调试权限，可执行文档上传、切片策略调整及召回测试等技术操作；</w:t>
      </w:r>
    </w:p>
    <w:p w14:paraId="678BFF63">
      <w:pPr>
        <w:pStyle w:val="12"/>
        <w:numPr>
          <w:ilvl w:val="0"/>
          <w:numId w:val="21"/>
        </w:numPr>
        <w:ind w:left="442" w:hanging="442" w:firstLineChars="0"/>
        <w:rPr>
          <w:b w:val="0"/>
          <w:color w:val="auto"/>
        </w:rPr>
      </w:pPr>
      <w:r>
        <w:rPr>
          <w:b w:val="0"/>
          <w:color w:val="auto"/>
        </w:rPr>
        <w:t>业务人员：依据岗位职责获得对应范围内的查看与上传权限，原则上不具备编辑与删除权限，确保知识内容的稳定性与权威性。</w:t>
      </w:r>
    </w:p>
    <w:p w14:paraId="38E82365">
      <w:pPr>
        <w:pStyle w:val="3"/>
      </w:pPr>
      <w:r>
        <w:t>5.2 构建辅助专业领域深度决策场景化能力</w:t>
      </w:r>
    </w:p>
    <w:p w14:paraId="3CA2A8AB">
      <w:pPr>
        <w:pStyle w:val="4"/>
        <w:numPr>
          <w:ilvl w:val="0"/>
          <w:numId w:val="22"/>
        </w:numPr>
        <w:topLinePunct w:val="0"/>
        <w:ind w:left="0" w:leftChars="0" w:firstLine="640" w:firstLineChars="0"/>
        <w:rPr>
          <w:b w:val="0"/>
          <w:bdr w:val="none" w:sz="0" w:space="0"/>
        </w:rPr>
      </w:pPr>
      <w:r>
        <w:t>智能问数（NLPtoSQL）</w:t>
      </w:r>
    </w:p>
    <w:p w14:paraId="472D6CD5">
      <w:pPr>
        <w:pStyle w:val="12"/>
        <w:rPr>
          <w:b w:val="0"/>
          <w:color w:val="auto"/>
        </w:rPr>
      </w:pPr>
      <w:r>
        <w:rPr>
          <w:b w:val="0"/>
          <w:color w:val="auto"/>
        </w:rPr>
        <w:t>通过构建“对话即查询”的数据获取模式，系统能够对接集团大数据平台及各类看板指标。用户可使用自然语言提问（例如</w:t>
      </w:r>
      <w:r>
        <w:rPr>
          <w:rFonts w:hint="eastAsia"/>
          <w:b w:val="0"/>
          <w:color w:val="auto"/>
          <w:lang w:eastAsia="zh-CN"/>
        </w:rPr>
        <w:t>“</w:t>
      </w:r>
      <w:r>
        <w:rPr>
          <w:b w:val="0"/>
          <w:color w:val="auto"/>
        </w:rPr>
        <w:t>查询上个月集装箱吞吐量同比变化</w:t>
      </w:r>
      <w:r>
        <w:rPr>
          <w:rFonts w:hint="eastAsia"/>
          <w:b w:val="0"/>
          <w:color w:val="auto"/>
          <w:lang w:eastAsia="zh-CN"/>
        </w:rPr>
        <w:t>”</w:t>
      </w:r>
      <w:r>
        <w:rPr>
          <w:b w:val="0"/>
          <w:color w:val="auto"/>
        </w:rPr>
        <w:t>），系统将自动解析用户的意图，并将其转换为SQL或API调用，从而直接返回相应的图表或分析结论。</w:t>
      </w:r>
    </w:p>
    <w:p w14:paraId="34B4F083">
      <w:pPr>
        <w:pStyle w:val="4"/>
        <w:numPr>
          <w:ilvl w:val="0"/>
          <w:numId w:val="22"/>
        </w:numPr>
        <w:topLinePunct w:val="0"/>
        <w:ind w:left="0" w:leftChars="0" w:firstLine="640" w:firstLineChars="0"/>
        <w:rPr>
          <w:b w:val="0"/>
          <w:bdr w:val="none" w:sz="0" w:space="0"/>
        </w:rPr>
      </w:pPr>
      <w:r>
        <w:t>探索验证一体化经营驾驶舱</w:t>
      </w:r>
    </w:p>
    <w:p w14:paraId="1C7B8FDC">
      <w:pPr>
        <w:pStyle w:val="12"/>
        <w:rPr>
          <w:b w:val="0"/>
          <w:color w:val="auto"/>
        </w:rPr>
      </w:pPr>
      <w:r>
        <w:rPr>
          <w:b w:val="0"/>
          <w:color w:val="auto"/>
        </w:rPr>
        <w:t>利用预测性算法对业务、财务数据进行多维关联分析。从经营态势感知、异常智能预警，到提供辅助处置建议，构建全链路闭环的经营分析决策体系，助力管理层精准掌握成本、资金与效益的动态变化。</w:t>
      </w:r>
    </w:p>
    <w:p w14:paraId="4B4A9C39">
      <w:pPr>
        <w:pStyle w:val="4"/>
        <w:numPr>
          <w:ilvl w:val="0"/>
          <w:numId w:val="22"/>
        </w:numPr>
        <w:topLinePunct w:val="0"/>
        <w:ind w:left="0" w:leftChars="0" w:firstLine="640" w:firstLineChars="0"/>
        <w:rPr>
          <w:b w:val="0"/>
          <w:bdr w:val="none" w:sz="0" w:space="0"/>
        </w:rPr>
      </w:pPr>
      <w:r>
        <w:t>构建全域融合的知识管理体系</w:t>
      </w:r>
    </w:p>
    <w:p w14:paraId="0858247B">
      <w:pPr>
        <w:pStyle w:val="12"/>
        <w:rPr>
          <w:b w:val="0"/>
          <w:color w:val="auto"/>
        </w:rPr>
      </w:pPr>
      <w:r>
        <w:rPr>
          <w:b w:val="0"/>
          <w:color w:val="auto"/>
        </w:rPr>
        <w:t>建立</w:t>
      </w:r>
      <w:r>
        <w:rPr>
          <w:rFonts w:hint="eastAsia"/>
          <w:b w:val="0"/>
          <w:color w:val="auto"/>
          <w:lang w:eastAsia="zh-CN"/>
        </w:rPr>
        <w:t>“</w:t>
      </w:r>
      <w:r>
        <w:rPr>
          <w:b w:val="0"/>
          <w:color w:val="auto"/>
        </w:rPr>
        <w:t>集团－领域－个人</w:t>
      </w:r>
      <w:r>
        <w:rPr>
          <w:rFonts w:hint="eastAsia"/>
          <w:b w:val="0"/>
          <w:color w:val="auto"/>
          <w:lang w:eastAsia="zh-CN"/>
        </w:rPr>
        <w:t>”</w:t>
      </w:r>
      <w:r>
        <w:rPr>
          <w:b w:val="0"/>
          <w:color w:val="auto"/>
        </w:rPr>
        <w:t>三级知识资产架构，打破数据孤岛，沉淀港口业务规范、历史案例及经验技巧，并结合权限管控，实现知识资产的安全共享与高效复用。</w:t>
      </w:r>
    </w:p>
    <w:p w14:paraId="387C3A22">
      <w:pPr>
        <w:pStyle w:val="12"/>
        <w:rPr>
          <w:rFonts w:hint="eastAsia" w:ascii="仿宋_GB2312" w:hAnsi="仿宋_GB2312" w:eastAsia="仿宋_GB2312" w:cs="仿宋_GB2312"/>
          <w:b w:val="0"/>
          <w:bCs w:val="0"/>
          <w:color w:val="auto"/>
          <w:sz w:val="32"/>
          <w:szCs w:val="32"/>
        </w:rPr>
      </w:pPr>
      <w:r>
        <w:rPr>
          <w:rStyle w:val="35"/>
          <w:rFonts w:hint="eastAsia" w:ascii="仿宋_GB2312" w:hAnsi="仿宋_GB2312" w:eastAsia="仿宋_GB2312" w:cs="仿宋_GB2312"/>
          <w:b w:val="0"/>
          <w:bCs w:val="0"/>
          <w:sz w:val="32"/>
          <w:szCs w:val="32"/>
        </w:rPr>
        <w:t>集团级（通用知识）</w:t>
      </w:r>
      <w:r>
        <w:rPr>
          <w:rFonts w:hint="eastAsia" w:ascii="仿宋_GB2312" w:hAnsi="仿宋_GB2312" w:eastAsia="仿宋_GB2312" w:cs="仿宋_GB2312"/>
          <w:b w:val="0"/>
          <w:bCs w:val="0"/>
          <w:color w:val="auto"/>
          <w:sz w:val="32"/>
          <w:szCs w:val="32"/>
        </w:rPr>
        <w:t>：统一纳管集团层面的规章制度、公文规范、通用于全集团的办事流程及行业政策法规，确保基础知识的权威性与一致性。</w:t>
      </w:r>
    </w:p>
    <w:p w14:paraId="10CEEDB7">
      <w:pPr>
        <w:pStyle w:val="12"/>
        <w:rPr>
          <w:rFonts w:hint="eastAsia" w:ascii="仿宋_GB2312" w:hAnsi="仿宋_GB2312" w:eastAsia="仿宋_GB2312" w:cs="仿宋_GB2312"/>
          <w:b w:val="0"/>
          <w:bCs w:val="0"/>
          <w:color w:val="auto"/>
          <w:sz w:val="32"/>
          <w:szCs w:val="32"/>
        </w:rPr>
      </w:pPr>
      <w:r>
        <w:rPr>
          <w:rStyle w:val="35"/>
          <w:rFonts w:hint="eastAsia" w:ascii="仿宋_GB2312" w:hAnsi="仿宋_GB2312" w:eastAsia="仿宋_GB2312" w:cs="仿宋_GB2312"/>
          <w:b w:val="0"/>
          <w:bCs w:val="0"/>
          <w:sz w:val="32"/>
          <w:szCs w:val="32"/>
        </w:rPr>
        <w:t>领域级（专业知识）</w:t>
      </w:r>
      <w:r>
        <w:rPr>
          <w:rFonts w:hint="eastAsia" w:ascii="仿宋_GB2312" w:hAnsi="仿宋_GB2312" w:eastAsia="仿宋_GB2312" w:cs="仿宋_GB2312"/>
          <w:b w:val="0"/>
          <w:bCs w:val="0"/>
          <w:color w:val="auto"/>
          <w:sz w:val="32"/>
          <w:szCs w:val="32"/>
        </w:rPr>
        <w:t>：按业务板块（如生产、财务、设备）构建专业知识库。重点沉淀港口作业规范、设备维修历史案例、老专家经验技巧（通过语音转文字归档）、生产安全事故教训等，形成各业务条线的核心资产。</w:t>
      </w:r>
    </w:p>
    <w:p w14:paraId="6D824445">
      <w:pPr>
        <w:pStyle w:val="12"/>
        <w:rPr>
          <w:rFonts w:hint="eastAsia" w:ascii="仿宋_GB2312" w:hAnsi="仿宋_GB2312" w:eastAsia="仿宋_GB2312" w:cs="仿宋_GB2312"/>
          <w:b w:val="0"/>
          <w:bCs w:val="0"/>
          <w:color w:val="auto"/>
          <w:sz w:val="32"/>
          <w:szCs w:val="32"/>
        </w:rPr>
      </w:pPr>
      <w:r>
        <w:rPr>
          <w:rStyle w:val="35"/>
          <w:rFonts w:hint="eastAsia" w:ascii="仿宋_GB2312" w:hAnsi="仿宋_GB2312" w:eastAsia="仿宋_GB2312" w:cs="仿宋_GB2312"/>
          <w:b w:val="0"/>
          <w:bCs w:val="0"/>
          <w:sz w:val="32"/>
          <w:szCs w:val="32"/>
        </w:rPr>
        <w:t>个人级（个性化知识）</w:t>
      </w:r>
      <w:r>
        <w:rPr>
          <w:rFonts w:hint="eastAsia" w:ascii="仿宋_GB2312" w:hAnsi="仿宋_GB2312" w:eastAsia="仿宋_GB2312" w:cs="仿宋_GB2312"/>
          <w:b w:val="0"/>
          <w:bCs w:val="0"/>
          <w:color w:val="auto"/>
          <w:sz w:val="32"/>
          <w:szCs w:val="32"/>
        </w:rPr>
        <w:t>：为员工提供个人知识空间，支持上传个人工作总结、会议记录及常用资料，结合AI能力形成“个人第二大脑”，辅助个人效能提升。</w:t>
      </w:r>
    </w:p>
    <w:p w14:paraId="3C7C85B7">
      <w:pPr>
        <w:pStyle w:val="12"/>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知识管理体系依托集团－领域－个人三级知识资产架构，打破数据孤岛，沉淀港口业务规范、历史案例及经验技巧，并结合权限管控，实现知识资产的安全共享与高效复用。</w:t>
      </w:r>
    </w:p>
    <w:p w14:paraId="102290E1">
      <w:pPr>
        <w:pStyle w:val="38"/>
        <w:numPr>
          <w:ilvl w:val="0"/>
          <w:numId w:val="23"/>
        </w:numPr>
        <w:topLinePunct w:val="0"/>
        <w:ind w:left="0" w:leftChars="0" w:firstLine="482" w:firstLineChars="0"/>
        <w:jc w:val="left"/>
        <w:rPr>
          <w:rFonts w:hint="eastAsia" w:ascii="仿宋_GB2312" w:hAnsi="仿宋_GB2312" w:eastAsia="仿宋_GB2312" w:cs="仿宋_GB2312"/>
          <w:b w:val="0"/>
          <w:bCs w:val="0"/>
          <w:color w:val="auto"/>
          <w:sz w:val="32"/>
          <w:szCs w:val="32"/>
          <w:lang/>
        </w:rPr>
      </w:pPr>
      <w:bookmarkStart w:id="35" w:name="_Toc223189787"/>
      <w:r>
        <w:rPr>
          <w:rFonts w:hint="eastAsia" w:ascii="仿宋_GB2312" w:hAnsi="仿宋_GB2312" w:eastAsia="仿宋_GB2312" w:cs="仿宋_GB2312"/>
          <w:b w:val="0"/>
          <w:bCs w:val="0"/>
          <w:color w:val="auto"/>
          <w:sz w:val="32"/>
          <w:szCs w:val="32"/>
          <w:lang/>
        </w:rPr>
        <w:t>三级知识架构定义</w:t>
      </w:r>
      <w:bookmarkEnd w:id="35"/>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278"/>
        <w:gridCol w:w="4517"/>
        <w:gridCol w:w="1571"/>
      </w:tblGrid>
      <w:tr w14:paraId="0DE9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tcBorders>
              <w:insideH w:val="nil"/>
              <w:insideV w:val="single" w:sz="4" w:space="0"/>
            </w:tcBorders>
            <w:shd w:val="clear" w:color="auto" w:fill="D0CECE"/>
          </w:tcPr>
          <w:p w14:paraId="191CC196">
            <w:pPr>
              <w:spacing w:after="160" w:line="278" w:lineRule="auto"/>
              <w:jc w:val="center"/>
              <w:rPr>
                <w:rFonts w:ascii="微软雅黑" w:hAnsi="微软雅黑" w:eastAsia="微软雅黑"/>
                <w:b w:val="0"/>
                <w:bCs w:val="0"/>
                <w:color w:val="auto"/>
                <w:sz w:val="24"/>
                <w14:ligatures w14:val="standardContextual"/>
              </w:rPr>
            </w:pPr>
            <w:r>
              <w:rPr>
                <w:rStyle w:val="22"/>
                <w:rFonts w:ascii="微软雅黑" w:hAnsi="微软雅黑" w:eastAsia="微软雅黑"/>
                <w:b w:val="0"/>
                <w:bCs w:val="0"/>
                <w:color w:val="auto"/>
                <w:sz w:val="24"/>
                <w14:ligatures w14:val="standardContextual"/>
              </w:rPr>
              <w:t>层级</w:t>
            </w:r>
          </w:p>
        </w:tc>
        <w:tc>
          <w:tcPr>
            <w:tcW w:w="705" w:type="pct"/>
            <w:tcBorders>
              <w:insideV w:val="single" w:sz="4" w:space="0"/>
            </w:tcBorders>
            <w:shd w:val="clear" w:color="auto" w:fill="D0CECE"/>
          </w:tcPr>
          <w:p w14:paraId="7F3B53A8">
            <w:pPr>
              <w:spacing w:after="160" w:line="278" w:lineRule="auto"/>
              <w:jc w:val="center"/>
              <w:rPr>
                <w:rFonts w:ascii="微软雅黑" w:hAnsi="微软雅黑" w:eastAsia="微软雅黑"/>
                <w:b w:val="0"/>
                <w:bCs w:val="0"/>
                <w:color w:val="auto"/>
                <w:sz w:val="24"/>
                <w14:ligatures w14:val="standardContextual"/>
              </w:rPr>
            </w:pPr>
            <w:r>
              <w:rPr>
                <w:rStyle w:val="22"/>
                <w:rFonts w:ascii="微软雅黑" w:hAnsi="微软雅黑" w:eastAsia="微软雅黑"/>
                <w:b w:val="0"/>
                <w:bCs w:val="0"/>
                <w:color w:val="auto"/>
                <w:sz w:val="24"/>
                <w14:ligatures w14:val="standardContextual"/>
              </w:rPr>
              <w:t>知识范围</w:t>
            </w:r>
          </w:p>
        </w:tc>
        <w:tc>
          <w:tcPr>
            <w:tcW w:w="2491" w:type="pct"/>
            <w:tcBorders>
              <w:insideH w:val="nil"/>
              <w:insideV w:val="single" w:sz="4" w:space="0"/>
            </w:tcBorders>
            <w:shd w:val="clear" w:color="auto" w:fill="D0CECE"/>
          </w:tcPr>
          <w:p w14:paraId="22054EC4">
            <w:pPr>
              <w:spacing w:after="160" w:line="278" w:lineRule="auto"/>
              <w:jc w:val="center"/>
              <w:rPr>
                <w:rFonts w:ascii="微软雅黑" w:hAnsi="微软雅黑" w:eastAsia="微软雅黑"/>
                <w:b w:val="0"/>
                <w:bCs w:val="0"/>
                <w:color w:val="auto"/>
                <w:sz w:val="24"/>
                <w14:ligatures w14:val="standardContextual"/>
              </w:rPr>
            </w:pPr>
            <w:r>
              <w:rPr>
                <w:rStyle w:val="22"/>
                <w:rFonts w:ascii="微软雅黑" w:hAnsi="微软雅黑" w:eastAsia="微软雅黑"/>
                <w:b w:val="0"/>
                <w:bCs w:val="0"/>
                <w:color w:val="auto"/>
                <w:sz w:val="24"/>
                <w14:ligatures w14:val="standardContextual"/>
              </w:rPr>
              <w:t>典型内容</w:t>
            </w:r>
          </w:p>
        </w:tc>
        <w:tc>
          <w:tcPr>
            <w:tcW w:w="866" w:type="pct"/>
            <w:tcBorders>
              <w:insideV w:val="single" w:sz="4" w:space="0"/>
            </w:tcBorders>
            <w:shd w:val="clear" w:color="auto" w:fill="D0CECE"/>
          </w:tcPr>
          <w:p w14:paraId="40AB7D0F">
            <w:pPr>
              <w:spacing w:after="160" w:line="278" w:lineRule="auto"/>
              <w:jc w:val="center"/>
              <w:rPr>
                <w:rFonts w:ascii="微软雅黑" w:hAnsi="微软雅黑" w:eastAsia="微软雅黑"/>
                <w:b w:val="0"/>
                <w:bCs w:val="0"/>
                <w:color w:val="auto"/>
                <w:sz w:val="24"/>
                <w14:ligatures w14:val="standardContextual"/>
              </w:rPr>
            </w:pPr>
            <w:r>
              <w:rPr>
                <w:rStyle w:val="22"/>
                <w:rFonts w:ascii="微软雅黑" w:hAnsi="微软雅黑" w:eastAsia="微软雅黑"/>
                <w:b w:val="0"/>
                <w:bCs w:val="0"/>
                <w:color w:val="auto"/>
                <w:sz w:val="24"/>
                <w14:ligatures w14:val="standardContextual"/>
              </w:rPr>
              <w:t>管理主体</w:t>
            </w:r>
          </w:p>
        </w:tc>
      </w:tr>
      <w:tr w14:paraId="1212A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tcBorders>
              <w:insideH w:val="nil"/>
            </w:tcBorders>
            <w:shd w:val="clear" w:color="auto" w:fill="FFFFFF"/>
          </w:tcPr>
          <w:p w14:paraId="5354B5C0">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集团级（通用知识）</w:t>
            </w:r>
          </w:p>
        </w:tc>
        <w:tc>
          <w:tcPr>
            <w:tcW w:w="705" w:type="pct"/>
            <w:shd w:val="clear" w:color="auto" w:fill="auto"/>
          </w:tcPr>
          <w:p w14:paraId="73CD6E26">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全集团通用</w:t>
            </w:r>
          </w:p>
        </w:tc>
        <w:tc>
          <w:tcPr>
            <w:tcW w:w="2491" w:type="pct"/>
            <w:tcBorders>
              <w:insideH w:val="nil"/>
            </w:tcBorders>
            <w:shd w:val="clear" w:color="auto" w:fill="FFFFFF"/>
          </w:tcPr>
          <w:p w14:paraId="2B079B1F">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规章制度、公文规范、办事流程、行业政策法规</w:t>
            </w:r>
          </w:p>
        </w:tc>
        <w:tc>
          <w:tcPr>
            <w:tcW w:w="866" w:type="pct"/>
            <w:shd w:val="clear" w:color="auto" w:fill="auto"/>
          </w:tcPr>
          <w:p w14:paraId="5DD6BCB7">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集团职能部门</w:t>
            </w:r>
          </w:p>
        </w:tc>
      </w:tr>
      <w:tr w14:paraId="1DF62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tcBorders>
              <w:insideH w:val="nil"/>
            </w:tcBorders>
            <w:shd w:val="clear" w:color="auto" w:fill="FFFFFF"/>
          </w:tcPr>
          <w:p w14:paraId="713B9AA7">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领域级（专业知识）</w:t>
            </w:r>
          </w:p>
        </w:tc>
        <w:tc>
          <w:tcPr>
            <w:tcW w:w="705" w:type="pct"/>
            <w:shd w:val="clear" w:color="auto" w:fill="auto"/>
          </w:tcPr>
          <w:p w14:paraId="16A8E312">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各业务板块</w:t>
            </w:r>
          </w:p>
        </w:tc>
        <w:tc>
          <w:tcPr>
            <w:tcW w:w="2491" w:type="pct"/>
            <w:tcBorders>
              <w:insideH w:val="nil"/>
            </w:tcBorders>
            <w:shd w:val="clear" w:color="auto" w:fill="FFFFFF"/>
          </w:tcPr>
          <w:p w14:paraId="681BDA51">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港口作业规范、设备维修案例、老专家经验、安全事故教训</w:t>
            </w:r>
          </w:p>
        </w:tc>
        <w:tc>
          <w:tcPr>
            <w:tcW w:w="866" w:type="pct"/>
            <w:shd w:val="clear" w:color="auto" w:fill="auto"/>
          </w:tcPr>
          <w:p w14:paraId="0F9338C9">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各业务条线负责人</w:t>
            </w:r>
          </w:p>
        </w:tc>
      </w:tr>
      <w:tr w14:paraId="1539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tcBorders>
              <w:insideH w:val="nil"/>
            </w:tcBorders>
            <w:shd w:val="clear" w:color="auto" w:fill="FFFFFF"/>
          </w:tcPr>
          <w:p w14:paraId="06F46562">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个人级（个性化知识）</w:t>
            </w:r>
          </w:p>
        </w:tc>
        <w:tc>
          <w:tcPr>
            <w:tcW w:w="705" w:type="pct"/>
            <w:shd w:val="clear" w:color="auto" w:fill="auto"/>
          </w:tcPr>
          <w:p w14:paraId="68E211AD">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员工个人</w:t>
            </w:r>
          </w:p>
        </w:tc>
        <w:tc>
          <w:tcPr>
            <w:tcW w:w="2491" w:type="pct"/>
            <w:tcBorders>
              <w:insideH w:val="nil"/>
            </w:tcBorders>
            <w:shd w:val="clear" w:color="auto" w:fill="FFFFFF"/>
          </w:tcPr>
          <w:p w14:paraId="43CD1913">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工作总结、会议记录、常用资料</w:t>
            </w:r>
          </w:p>
        </w:tc>
        <w:tc>
          <w:tcPr>
            <w:tcW w:w="866" w:type="pct"/>
            <w:shd w:val="clear" w:color="auto" w:fill="auto"/>
          </w:tcPr>
          <w:p w14:paraId="2E47D814">
            <w:pPr>
              <w:spacing w:after="160" w:line="278" w:lineRule="auto"/>
              <w:rPr>
                <w:rFonts w:ascii="微软雅黑" w:hAnsi="微软雅黑" w:eastAsia="微软雅黑"/>
                <w:b w:val="0"/>
                <w:bCs w:val="0"/>
                <w:color w:val="auto"/>
                <w:sz w:val="24"/>
                <w14:ligatures w14:val="standardContextual"/>
              </w:rPr>
            </w:pPr>
            <w:r>
              <w:rPr>
                <w:rFonts w:ascii="微软雅黑" w:hAnsi="微软雅黑" w:eastAsia="微软雅黑"/>
                <w:b w:val="0"/>
                <w:bCs w:val="0"/>
                <w:color w:val="auto"/>
                <w:sz w:val="24"/>
                <w14:ligatures w14:val="standardContextual"/>
              </w:rPr>
              <w:t>员工本人</w:t>
            </w:r>
          </w:p>
        </w:tc>
      </w:tr>
    </w:tbl>
    <w:p w14:paraId="4F5FD338">
      <w:pPr>
        <w:pStyle w:val="5"/>
        <w:numPr>
          <w:ilvl w:val="0"/>
          <w:numId w:val="23"/>
        </w:numPr>
        <w:topLinePunct w:val="0"/>
        <w:ind w:left="0" w:leftChars="0" w:firstLine="482" w:firstLineChars="0"/>
        <w:rPr>
          <w:b w:val="0"/>
          <w:bdr w:val="none" w:sz="0" w:space="0"/>
        </w:rPr>
      </w:pPr>
      <w:bookmarkStart w:id="36" w:name="_Toc223189788"/>
      <w:r>
        <w:t>集团级知识库</w:t>
      </w:r>
      <w:bookmarkEnd w:id="36"/>
    </w:p>
    <w:p w14:paraId="2A36DE84">
      <w:pPr>
        <w:pStyle w:val="12"/>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集团级知识库是三级体系的权威基础层，承载全集团通用的制度规范与合规依据，其内容的准确性与一致性直接影响数字员工在全员场景下的回答质量。重点围绕以下方向进行建设：</w:t>
      </w:r>
    </w:p>
    <w:p w14:paraId="16033942">
      <w:pPr>
        <w:pStyle w:val="12"/>
        <w:widowControl/>
        <w:numPr>
          <w:ilvl w:val="0"/>
          <w:numId w:val="24"/>
        </w:numPr>
        <w:ind w:firstLine="640" w:firstLineChars="200"/>
        <w:rPr>
          <w:rFonts w:hint="eastAsia" w:ascii="仿宋_GB2312" w:hAnsi="仿宋_GB2312" w:eastAsia="仿宋_GB2312" w:cs="仿宋_GB2312"/>
          <w:b w:val="0"/>
          <w:bCs w:val="0"/>
          <w:color w:val="auto"/>
          <w:sz w:val="32"/>
          <w:szCs w:val="32"/>
        </w:rPr>
      </w:pPr>
      <w:r>
        <w:rPr>
          <w:rStyle w:val="35"/>
          <w:rFonts w:hint="eastAsia" w:ascii="仿宋_GB2312" w:hAnsi="仿宋_GB2312" w:eastAsia="仿宋_GB2312" w:cs="仿宋_GB2312"/>
          <w:b w:val="0"/>
          <w:bCs w:val="0"/>
          <w:sz w:val="32"/>
          <w:szCs w:val="32"/>
        </w:rPr>
        <w:t>规章制度与公文规范：</w:t>
      </w:r>
      <w:r>
        <w:rPr>
          <w:rFonts w:hint="eastAsia" w:ascii="仿宋_GB2312" w:hAnsi="仿宋_GB2312" w:eastAsia="仿宋_GB2312" w:cs="仿宋_GB2312"/>
          <w:b w:val="0"/>
          <w:bCs w:val="0"/>
          <w:color w:val="auto"/>
          <w:sz w:val="32"/>
          <w:szCs w:val="32"/>
        </w:rPr>
        <w:t xml:space="preserve"> 统一纳管集团层面的人事、行政、财务、安全等各类规章制度及公文写作规范。针对此类长篇制度性文档，保留条文上下文连贯性，确保数字员工在回答制度类问题时，能够完整、准确地引用相关条款，避免断章取义。</w:t>
      </w:r>
    </w:p>
    <w:p w14:paraId="14B86183">
      <w:pPr>
        <w:pStyle w:val="12"/>
        <w:widowControl/>
        <w:numPr>
          <w:ilvl w:val="0"/>
          <w:numId w:val="24"/>
        </w:numPr>
        <w:ind w:firstLine="640" w:firstLineChars="200"/>
        <w:rPr>
          <w:rFonts w:hint="eastAsia" w:ascii="仿宋_GB2312" w:hAnsi="仿宋_GB2312" w:eastAsia="仿宋_GB2312" w:cs="仿宋_GB2312"/>
          <w:b w:val="0"/>
          <w:bCs w:val="0"/>
          <w:color w:val="auto"/>
          <w:sz w:val="32"/>
          <w:szCs w:val="32"/>
        </w:rPr>
      </w:pPr>
      <w:r>
        <w:rPr>
          <w:rStyle w:val="35"/>
          <w:rFonts w:hint="eastAsia" w:ascii="仿宋_GB2312" w:hAnsi="仿宋_GB2312" w:eastAsia="仿宋_GB2312" w:cs="仿宋_GB2312"/>
          <w:b w:val="0"/>
          <w:bCs w:val="0"/>
          <w:sz w:val="32"/>
          <w:szCs w:val="32"/>
        </w:rPr>
        <w:t>办事流程与审批指引：</w:t>
      </w:r>
      <w:r>
        <w:rPr>
          <w:rFonts w:hint="eastAsia" w:ascii="仿宋_GB2312" w:hAnsi="仿宋_GB2312" w:eastAsia="仿宋_GB2312" w:cs="仿宋_GB2312"/>
          <w:b w:val="0"/>
          <w:bCs w:val="0"/>
          <w:color w:val="auto"/>
          <w:sz w:val="32"/>
          <w:szCs w:val="32"/>
        </w:rPr>
        <w:t xml:space="preserve"> 归档集团统一适用的业务办理流程、审批节点说明及表单模板，支持员工通过自然语言问询快速获取“如何办理某项业务”的完整指引，减少因流程不透明导致的重复咨询与人工解答成本。</w:t>
      </w:r>
    </w:p>
    <w:p w14:paraId="00818B7A">
      <w:pPr>
        <w:pStyle w:val="12"/>
        <w:widowControl/>
        <w:numPr>
          <w:ilvl w:val="0"/>
          <w:numId w:val="24"/>
        </w:numPr>
        <w:ind w:firstLine="640" w:firstLineChars="200"/>
        <w:rPr>
          <w:rFonts w:hint="eastAsia" w:ascii="仿宋_GB2312" w:hAnsi="仿宋_GB2312" w:eastAsia="仿宋_GB2312" w:cs="仿宋_GB2312"/>
          <w:b w:val="0"/>
          <w:bCs w:val="0"/>
          <w:color w:val="auto"/>
          <w:sz w:val="32"/>
          <w:szCs w:val="32"/>
        </w:rPr>
      </w:pPr>
      <w:r>
        <w:rPr>
          <w:rStyle w:val="35"/>
          <w:rFonts w:hint="eastAsia" w:ascii="仿宋_GB2312" w:hAnsi="仿宋_GB2312" w:eastAsia="仿宋_GB2312" w:cs="仿宋_GB2312"/>
          <w:b w:val="0"/>
          <w:bCs w:val="0"/>
          <w:sz w:val="32"/>
          <w:szCs w:val="32"/>
        </w:rPr>
        <w:t>行业政策法规：</w:t>
      </w:r>
      <w:r>
        <w:rPr>
          <w:rFonts w:hint="eastAsia" w:ascii="仿宋_GB2312" w:hAnsi="仿宋_GB2312" w:eastAsia="仿宋_GB2312" w:cs="仿宋_GB2312"/>
          <w:b w:val="0"/>
          <w:bCs w:val="0"/>
          <w:color w:val="auto"/>
          <w:sz w:val="32"/>
          <w:szCs w:val="32"/>
        </w:rPr>
        <w:t xml:space="preserve"> 持续收录与港口业务相关的国家法律法规、行业标准及监管政策文件。针对此类文档，支持条款级定位检索，确保合规查询的准确性与权威性。</w:t>
      </w:r>
    </w:p>
    <w:p w14:paraId="04D0733B">
      <w:pPr>
        <w:pStyle w:val="12"/>
        <w:rPr>
          <w:b w:val="0"/>
          <w:color w:val="auto"/>
        </w:rPr>
      </w:pPr>
      <w:r>
        <w:rPr>
          <w:rFonts w:hint="eastAsia" w:ascii="仿宋_GB2312" w:hAnsi="仿宋_GB2312" w:eastAsia="仿宋_GB2312" w:cs="仿宋_GB2312"/>
          <w:b w:val="0"/>
          <w:bCs w:val="0"/>
          <w:color w:val="auto"/>
          <w:sz w:val="32"/>
          <w:szCs w:val="32"/>
        </w:rPr>
        <w:t>知识权威性保障： 集团级知识库的内容录入与更新权限仅开放给集团职能部门指定管理员，普通员工不可直接编辑。所有新增或修改内容须经审核流程后方可</w:t>
      </w:r>
      <w:r>
        <w:rPr>
          <w:b w:val="0"/>
          <w:color w:val="auto"/>
        </w:rPr>
        <w:t>发布生效，确保集团级知识的权威性与一致性不因多人操作而受损。</w:t>
      </w:r>
    </w:p>
    <w:p w14:paraId="4BE162D8">
      <w:pPr>
        <w:pStyle w:val="5"/>
        <w:numPr>
          <w:ilvl w:val="0"/>
          <w:numId w:val="23"/>
        </w:numPr>
        <w:topLinePunct w:val="0"/>
        <w:ind w:left="0" w:leftChars="0" w:firstLine="482" w:firstLineChars="0"/>
        <w:rPr>
          <w:b w:val="0"/>
          <w:bdr w:val="none" w:sz="0" w:space="0"/>
        </w:rPr>
      </w:pPr>
      <w:bookmarkStart w:id="37" w:name="_Toc223189789"/>
      <w:r>
        <w:t>领域级知识库</w:t>
      </w:r>
      <w:bookmarkEnd w:id="37"/>
    </w:p>
    <w:p w14:paraId="2099D796">
      <w:pPr>
        <w:pStyle w:val="12"/>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领域级知识库作为三级体系的核心资产，其建设重点围绕以下方向展开：</w:t>
      </w:r>
    </w:p>
    <w:p w14:paraId="48F06B49">
      <w:pPr>
        <w:pStyle w:val="12"/>
        <w:widowControl/>
        <w:numPr>
          <w:ilvl w:val="0"/>
          <w:numId w:val="25"/>
        </w:numPr>
        <w:ind w:left="0" w:leftChars="0" w:firstLine="562" w:firstLineChars="0"/>
        <w:rPr>
          <w:rFonts w:hint="eastAsia" w:ascii="仿宋_GB2312" w:hAnsi="仿宋_GB2312" w:eastAsia="仿宋_GB2312" w:cs="仿宋_GB2312"/>
          <w:b w:val="0"/>
          <w:bCs w:val="0"/>
          <w:color w:val="auto"/>
          <w:sz w:val="32"/>
          <w:szCs w:val="32"/>
          <w:bdr w:val="none" w:sz="0" w:space="0"/>
        </w:rPr>
      </w:pPr>
      <w:r>
        <w:rPr>
          <w:rStyle w:val="35"/>
          <w:rFonts w:hint="eastAsia" w:ascii="仿宋_GB2312" w:hAnsi="仿宋_GB2312" w:eastAsia="仿宋_GB2312" w:cs="仿宋_GB2312"/>
          <w:b w:val="0"/>
          <w:bCs w:val="0"/>
          <w:sz w:val="32"/>
          <w:szCs w:val="32"/>
        </w:rPr>
        <w:t>港口作业规范与生产安全</w:t>
      </w:r>
      <w:r>
        <w:rPr>
          <w:rStyle w:val="22"/>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rPr>
        <w:t>汇聚港口作业标准流程、生产安全事故教训以及应急处置经验。支持条款级精准定位检索，构建可检索、可复用的安全生产知识资产体系。</w:t>
      </w:r>
    </w:p>
    <w:p w14:paraId="4A50A889">
      <w:pPr>
        <w:pStyle w:val="12"/>
        <w:widowControl/>
        <w:numPr>
          <w:ilvl w:val="0"/>
          <w:numId w:val="25"/>
        </w:numPr>
        <w:ind w:left="0" w:leftChars="0" w:firstLine="562" w:firstLineChars="0"/>
        <w:rPr>
          <w:rFonts w:hint="eastAsia" w:ascii="仿宋_GB2312" w:hAnsi="仿宋_GB2312" w:eastAsia="仿宋_GB2312" w:cs="仿宋_GB2312"/>
          <w:b w:val="0"/>
          <w:bCs w:val="0"/>
          <w:color w:val="auto"/>
          <w:sz w:val="32"/>
          <w:szCs w:val="32"/>
          <w:bdr w:val="none" w:sz="0" w:space="0"/>
        </w:rPr>
      </w:pPr>
      <w:r>
        <w:rPr>
          <w:rStyle w:val="35"/>
          <w:rFonts w:hint="eastAsia" w:ascii="仿宋_GB2312" w:hAnsi="仿宋_GB2312" w:eastAsia="仿宋_GB2312" w:cs="仿宋_GB2312"/>
          <w:b w:val="0"/>
          <w:bCs w:val="0"/>
          <w:sz w:val="32"/>
          <w:szCs w:val="32"/>
        </w:rPr>
        <w:t>设备维修历史案例</w:t>
      </w:r>
      <w:r>
        <w:rPr>
          <w:rStyle w:val="22"/>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rPr>
        <w:t>对设备故障记录、维修方案及处置结果进行系统化归档，助力设备运维人员快速检索历史案例。针对设备技术手册等长篇结构化文档，依据章节进行分块处理，以提高故障处置效率。</w:t>
      </w:r>
    </w:p>
    <w:p w14:paraId="135E6185">
      <w:pPr>
        <w:pStyle w:val="12"/>
        <w:widowControl/>
        <w:numPr>
          <w:ilvl w:val="0"/>
          <w:numId w:val="25"/>
        </w:numPr>
        <w:ind w:left="0" w:leftChars="0" w:firstLine="562" w:firstLineChars="0"/>
        <w:rPr>
          <w:rFonts w:hint="eastAsia" w:ascii="仿宋_GB2312" w:hAnsi="仿宋_GB2312" w:eastAsia="仿宋_GB2312" w:cs="仿宋_GB2312"/>
          <w:b w:val="0"/>
          <w:bCs w:val="0"/>
          <w:color w:val="auto"/>
          <w:sz w:val="32"/>
          <w:szCs w:val="32"/>
          <w:bdr w:val="none" w:sz="0" w:space="0"/>
        </w:rPr>
      </w:pPr>
      <w:r>
        <w:rPr>
          <w:rStyle w:val="35"/>
          <w:rFonts w:hint="eastAsia" w:ascii="仿宋_GB2312" w:hAnsi="仿宋_GB2312" w:eastAsia="仿宋_GB2312" w:cs="仿宋_GB2312"/>
          <w:b w:val="0"/>
          <w:bCs w:val="0"/>
          <w:sz w:val="32"/>
          <w:szCs w:val="32"/>
        </w:rPr>
        <w:t>老专家经验归档</w:t>
      </w:r>
      <w:r>
        <w:rPr>
          <w:rStyle w:val="22"/>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rPr>
        <w:t>通过</w:t>
      </w:r>
      <w:r>
        <w:rPr>
          <w:rStyle w:val="22"/>
          <w:rFonts w:hint="eastAsia" w:ascii="仿宋_GB2312" w:hAnsi="仿宋_GB2312" w:eastAsia="仿宋_GB2312" w:cs="仿宋_GB2312"/>
          <w:b w:val="0"/>
          <w:bCs w:val="0"/>
          <w:color w:val="auto"/>
          <w:sz w:val="32"/>
          <w:szCs w:val="32"/>
        </w:rPr>
        <w:t>语音转文字</w:t>
      </w:r>
      <w:r>
        <w:rPr>
          <w:rFonts w:hint="eastAsia" w:ascii="仿宋_GB2312" w:hAnsi="仿宋_GB2312" w:eastAsia="仿宋_GB2312" w:cs="仿宋_GB2312"/>
          <w:b w:val="0"/>
          <w:bCs w:val="0"/>
          <w:color w:val="auto"/>
          <w:sz w:val="32"/>
          <w:szCs w:val="32"/>
        </w:rPr>
        <w:t>技术对老专家的口述经验进行结构化归档。鉴于港口作业环境存在专业术语密集、方言口音及设备噪声等干扰因素，需提前构建</w:t>
      </w:r>
      <w:r>
        <w:rPr>
          <w:rStyle w:val="22"/>
          <w:rFonts w:hint="eastAsia" w:ascii="仿宋_GB2312" w:hAnsi="仿宋_GB2312" w:eastAsia="仿宋_GB2312" w:cs="仿宋_GB2312"/>
          <w:b w:val="0"/>
          <w:bCs w:val="0"/>
          <w:color w:val="auto"/>
          <w:sz w:val="32"/>
          <w:szCs w:val="32"/>
        </w:rPr>
        <w:t>港口专业术语词典</w:t>
      </w:r>
      <w:r>
        <w:rPr>
          <w:rFonts w:hint="eastAsia" w:ascii="仿宋_GB2312" w:hAnsi="仿宋_GB2312" w:eastAsia="仿宋_GB2312" w:cs="仿宋_GB2312"/>
          <w:b w:val="0"/>
          <w:bCs w:val="0"/>
          <w:color w:val="auto"/>
          <w:sz w:val="32"/>
          <w:szCs w:val="32"/>
        </w:rPr>
        <w:t>，制定录音质量标准，并设置人工校对环节，形成可关联推理的专家知识网络。</w:t>
      </w:r>
    </w:p>
    <w:p w14:paraId="26CFE550">
      <w:pPr>
        <w:pStyle w:val="5"/>
        <w:numPr>
          <w:ilvl w:val="0"/>
          <w:numId w:val="23"/>
        </w:numPr>
        <w:topLinePunct w:val="0"/>
        <w:ind w:left="0" w:leftChars="0" w:firstLine="482" w:firstLineChars="0"/>
        <w:rPr>
          <w:b w:val="0"/>
          <w:bdr w:val="none" w:sz="0" w:space="0"/>
        </w:rPr>
      </w:pPr>
      <w:bookmarkStart w:id="38" w:name="_Toc223189790"/>
      <w:r>
        <w:t>个人级知识库</w:t>
      </w:r>
      <w:bookmarkEnd w:id="38"/>
    </w:p>
    <w:p w14:paraId="109CF82B">
      <w:pPr>
        <w:pStyle w:val="12"/>
        <w:rPr>
          <w:b w:val="0"/>
          <w:color w:val="auto"/>
        </w:rPr>
      </w:pPr>
      <w:r>
        <w:rPr>
          <w:b w:val="0"/>
          <w:color w:val="auto"/>
        </w:rPr>
        <w:t>为员工打造个人知识空间，支持其上传个人工作总结、会议记录及常用资料，借助AI能力构建个人第二大脑，助力个人效能提升。</w:t>
      </w:r>
    </w:p>
    <w:p w14:paraId="70E955BF">
      <w:pPr>
        <w:pStyle w:val="12"/>
        <w:rPr>
          <w:b w:val="0"/>
          <w:color w:val="auto"/>
        </w:rPr>
      </w:pPr>
      <w:r>
        <w:rPr>
          <w:rStyle w:val="22"/>
          <w:b w:val="0"/>
          <w:color w:val="auto"/>
        </w:rPr>
        <w:t>数据归属说明：在系统上线前，需明确个人知识空间内数据的归属政策：员工在职期间上传的工作相关内容，其数据归属权归集团；员工离职后，个人知识空间数据的处置方式（归档、清除或移交）应遵循集团数据管理规定，以避免因数据归属不明引发法律与隐私风险。</w:t>
      </w:r>
    </w:p>
    <w:p w14:paraId="3981ED26">
      <w:pPr>
        <w:pStyle w:val="4"/>
        <w:numPr>
          <w:ilvl w:val="0"/>
          <w:numId w:val="22"/>
        </w:numPr>
        <w:topLinePunct w:val="0"/>
        <w:ind w:left="0" w:leftChars="0" w:firstLine="640" w:firstLineChars="0"/>
        <w:rPr>
          <w:b w:val="0"/>
          <w:bdr w:val="none" w:sz="0" w:space="0"/>
        </w:rPr>
      </w:pPr>
      <w:r>
        <w:t>建设“开箱即用”的专业化功能</w:t>
      </w:r>
    </w:p>
    <w:p w14:paraId="48739BCD">
      <w:pPr>
        <w:pStyle w:val="12"/>
        <w:rPr>
          <w:b w:val="0"/>
          <w:color w:val="auto"/>
        </w:rPr>
      </w:pPr>
      <w:r>
        <w:rPr>
          <w:b w:val="0"/>
          <w:color w:val="auto"/>
        </w:rPr>
        <w:t>智能问答：基于RAG技术，集成集团制度、公文规范、办事流程等知识库，提供政策制度的精准检索与问答服务。</w:t>
      </w:r>
    </w:p>
    <w:p w14:paraId="162CEEE0">
      <w:pPr>
        <w:pStyle w:val="12"/>
        <w:rPr>
          <w:b w:val="0"/>
          <w:color w:val="auto"/>
        </w:rPr>
      </w:pPr>
      <w:r>
        <w:rPr>
          <w:b w:val="0"/>
          <w:color w:val="auto"/>
        </w:rPr>
        <w:t>公文生成：提供公文辅助生成、会议纪要整理、工作总结撰写等功能，支持按模板自动生成标准文档。</w:t>
      </w:r>
    </w:p>
    <w:p w14:paraId="54D4D453">
      <w:pPr>
        <w:pStyle w:val="12"/>
        <w:rPr>
          <w:b w:val="0"/>
          <w:color w:val="auto"/>
        </w:rPr>
      </w:pPr>
      <w:r>
        <w:rPr>
          <w:b w:val="0"/>
          <w:color w:val="auto"/>
        </w:rPr>
        <w:t>自动化流程：结合RPA与Agent技术，实现流程自动审批、会议室自动预订等自动化操作。</w:t>
      </w:r>
    </w:p>
    <w:p w14:paraId="03E262E6">
      <w:pPr>
        <w:pStyle w:val="4"/>
        <w:numPr>
          <w:ilvl w:val="0"/>
          <w:numId w:val="22"/>
        </w:numPr>
        <w:topLinePunct w:val="0"/>
        <w:ind w:left="0" w:leftChars="0" w:firstLine="640" w:firstLineChars="0"/>
        <w:rPr>
          <w:b w:val="0"/>
          <w:bdr w:val="none" w:sz="0" w:space="0"/>
        </w:rPr>
      </w:pPr>
      <w:r>
        <w:t>数字员工管理看板</w:t>
      </w:r>
    </w:p>
    <w:p w14:paraId="1EF8D6DE">
      <w:pPr>
        <w:pStyle w:val="12"/>
        <w:rPr>
          <w:b w:val="0"/>
          <w:color w:val="auto"/>
        </w:rPr>
      </w:pPr>
      <w:r>
        <w:rPr>
          <w:b w:val="0"/>
          <w:color w:val="auto"/>
        </w:rPr>
        <w:t>建设可视化的数字员工看板，实时展示全集团数字员工的运行状态。内容包括：数字员工</w:t>
      </w:r>
      <w:r>
        <w:rPr>
          <w:rFonts w:hint="eastAsia"/>
          <w:b w:val="0"/>
          <w:color w:val="auto"/>
          <w:lang w:val="en-US" w:eastAsia="zh-CN"/>
        </w:rPr>
        <w:t>覆盖节点</w:t>
      </w:r>
      <w:r>
        <w:rPr>
          <w:b w:val="0"/>
          <w:color w:val="auto"/>
        </w:rPr>
        <w:t>、类型分布（操作型、流程型、AI型）、活跃度统计、任务执行效率等，</w:t>
      </w:r>
      <w:bookmarkStart w:id="39" w:name="_GoBack"/>
      <w:bookmarkEnd w:id="39"/>
      <w:r>
        <w:rPr>
          <w:b w:val="0"/>
          <w:color w:val="auto"/>
        </w:rPr>
        <w:t>实现对数字员工的动态展示分析。</w:t>
      </w:r>
    </w:p>
    <w:p w14:paraId="4B57B6CC">
      <w:pPr>
        <w:pStyle w:val="4"/>
        <w:numPr>
          <w:ilvl w:val="0"/>
          <w:numId w:val="22"/>
        </w:numPr>
        <w:topLinePunct w:val="0"/>
        <w:ind w:left="0" w:leftChars="0" w:firstLine="640" w:firstLineChars="0"/>
        <w:rPr>
          <w:b w:val="0"/>
          <w:bdr w:val="none" w:sz="0" w:space="0"/>
        </w:rPr>
      </w:pPr>
      <w:r>
        <w:t>“四费及履职待遇”数据管理分析</w:t>
      </w:r>
    </w:p>
    <w:p w14:paraId="10C01E6C">
      <w:pPr>
        <w:pStyle w:val="5"/>
        <w:numPr>
          <w:ilvl w:val="0"/>
          <w:numId w:val="26"/>
        </w:numPr>
        <w:topLinePunct w:val="0"/>
        <w:ind w:left="0" w:leftChars="0" w:firstLine="640" w:firstLineChars="0"/>
        <w:rPr>
          <w:b w:val="0"/>
          <w:bdr w:val="none" w:sz="0" w:space="0"/>
        </w:rPr>
      </w:pPr>
      <w:r>
        <w:t>数据归集与标准统一（应用侧）</w:t>
      </w:r>
    </w:p>
    <w:p w14:paraId="7C5CF225">
      <w:pPr>
        <w:pStyle w:val="12"/>
        <w:rPr>
          <w:b w:val="0"/>
          <w:color w:val="auto"/>
        </w:rPr>
      </w:pPr>
      <w:r>
        <w:rPr>
          <w:b w:val="0"/>
          <w:color w:val="auto"/>
        </w:rPr>
        <w:t>打通综合管控系统、财务共享子系统、HCM子系统等数据源，实现差旅费、招待费、会议费、培训费、公务用车等费用的自动化采集与清洗。支持在线表单填报与Excel模板导入，确保数据完整补充。同步组织架构与人员信息，建立企业负责人信息库及履职待遇标准库，支持标准版本追溯与在线审批，实现数据标准统一，消除信息孤岛。</w:t>
      </w:r>
    </w:p>
    <w:p w14:paraId="5C0D3D2D">
      <w:pPr>
        <w:pStyle w:val="5"/>
        <w:numPr>
          <w:ilvl w:val="0"/>
          <w:numId w:val="26"/>
        </w:numPr>
        <w:topLinePunct w:val="0"/>
        <w:ind w:left="0" w:leftChars="0" w:firstLine="640" w:firstLineChars="0"/>
        <w:rPr>
          <w:b w:val="0"/>
          <w:bdr w:val="none" w:sz="0" w:space="0"/>
        </w:rPr>
      </w:pPr>
      <w:r>
        <w:t>全过程管控与预警（应用侧）</w:t>
      </w:r>
    </w:p>
    <w:p w14:paraId="733C5572">
      <w:pPr>
        <w:pStyle w:val="12"/>
        <w:rPr>
          <w:b w:val="0"/>
          <w:color w:val="auto"/>
        </w:rPr>
      </w:pPr>
      <w:r>
        <w:rPr>
          <w:b w:val="0"/>
          <w:color w:val="auto"/>
        </w:rPr>
        <w:t>建立多级预警机制，实时监控预算执行情况，动态对比实际支出与预算指标。系统自动识别超标消费、异常行为等，通过颜色标识、消息推送等方式发出预警。支持按单位、费用类型、时间等多维度下钻分析，确保费用管控制度有效落地，实现事前预防、事中控制。</w:t>
      </w:r>
    </w:p>
    <w:p w14:paraId="3B6D7677">
      <w:pPr>
        <w:pStyle w:val="5"/>
        <w:numPr>
          <w:ilvl w:val="0"/>
          <w:numId w:val="26"/>
        </w:numPr>
        <w:topLinePunct w:val="0"/>
        <w:ind w:left="0" w:leftChars="0" w:firstLine="640" w:firstLineChars="0"/>
        <w:rPr>
          <w:b w:val="0"/>
          <w:bdr w:val="none" w:sz="0" w:space="0"/>
        </w:rPr>
      </w:pPr>
      <w:r>
        <w:t>可视化驾驶舱（应用侧）</w:t>
      </w:r>
    </w:p>
    <w:p w14:paraId="72C27557">
      <w:pPr>
        <w:pStyle w:val="12"/>
        <w:rPr>
          <w:b w:val="0"/>
          <w:color w:val="auto"/>
        </w:rPr>
      </w:pPr>
      <w:r>
        <w:rPr>
          <w:b w:val="0"/>
          <w:color w:val="auto"/>
        </w:rPr>
        <w:t>提供直观的数据驾驶舱，实时展示全集团四费总额、同比变化、预算执行率等核心指标。支持按单位、板块、时间进行横向对比与趋势分析，通过图表展示费用构成及执行进度。驾驶舱界面可下钻查看明细数据，帮助管理层快速掌握费用动态，提升决策效率。</w:t>
      </w:r>
    </w:p>
    <w:p w14:paraId="748DBFDF">
      <w:pPr>
        <w:pStyle w:val="5"/>
        <w:numPr>
          <w:ilvl w:val="0"/>
          <w:numId w:val="26"/>
        </w:numPr>
        <w:topLinePunct w:val="0"/>
        <w:ind w:left="0" w:leftChars="0" w:firstLine="640" w:firstLineChars="0"/>
        <w:rPr>
          <w:b w:val="0"/>
          <w:bdr w:val="none" w:sz="0" w:space="0"/>
        </w:rPr>
      </w:pPr>
      <w:r>
        <w:t>智能报告（智能体）</w:t>
      </w:r>
    </w:p>
    <w:p w14:paraId="2F86CB36">
      <w:pPr>
        <w:pStyle w:val="12"/>
        <w:rPr>
          <w:b w:val="0"/>
          <w:color w:val="auto"/>
        </w:rPr>
      </w:pPr>
      <w:r>
        <w:rPr>
          <w:b w:val="0"/>
          <w:color w:val="auto"/>
        </w:rPr>
        <w:t>系统基于设定周期（月／季）自动生成四费综合分析报告与履职待遇专项报告。报告内容涵盖总体运行情况、各板块深度剖析、异常波动自动识别与原因提示，并附管控建议。支持一键导出，大幅降低人工操作强度，提升管理效率与合规性。</w:t>
      </w:r>
    </w:p>
    <w:p w14:paraId="1D91A340">
      <w:pPr>
        <w:pStyle w:val="5"/>
        <w:numPr>
          <w:ilvl w:val="0"/>
          <w:numId w:val="26"/>
        </w:numPr>
        <w:topLinePunct w:val="0"/>
        <w:ind w:left="0" w:leftChars="0" w:firstLine="640" w:firstLineChars="0"/>
        <w:rPr>
          <w:b w:val="0"/>
          <w:bdr w:val="none" w:sz="0" w:space="0"/>
        </w:rPr>
      </w:pPr>
      <w:r>
        <w:t>专项分析（应用侧）</w:t>
      </w:r>
    </w:p>
    <w:p w14:paraId="539F68F7">
      <w:pPr>
        <w:pStyle w:val="12"/>
        <w:rPr>
          <w:b w:val="0"/>
          <w:color w:val="auto"/>
        </w:rPr>
      </w:pPr>
      <w:r>
        <w:rPr>
          <w:b w:val="0"/>
          <w:color w:val="auto"/>
        </w:rPr>
        <w:t>针对履职待遇各细分项进行深度合规分析，包括公务用车配备标准、交通补贴发放、办公用房面积、业务招待、差旅标准、培训费用、通讯费用等。系统自动比对实际执行与标准限额，标识违规行为，提供历史版本对比与钻取查询，确保各项待遇执行规范、透明。</w:t>
      </w:r>
    </w:p>
    <w:p w14:paraId="235873C2">
      <w:pPr>
        <w:pStyle w:val="5"/>
        <w:numPr>
          <w:ilvl w:val="0"/>
          <w:numId w:val="26"/>
        </w:numPr>
        <w:topLinePunct w:val="0"/>
        <w:ind w:left="0" w:leftChars="0" w:firstLine="640" w:firstLineChars="0"/>
        <w:rPr>
          <w:b w:val="0"/>
          <w:bdr w:val="none" w:sz="0" w:space="0"/>
        </w:rPr>
      </w:pPr>
      <w:r>
        <w:t>移动端看板（应用侧）</w:t>
      </w:r>
    </w:p>
    <w:p w14:paraId="3891D096">
      <w:pPr>
        <w:pStyle w:val="12"/>
        <w:rPr>
          <w:b w:val="0"/>
          <w:color w:val="auto"/>
        </w:rPr>
      </w:pPr>
      <w:r>
        <w:rPr>
          <w:b w:val="0"/>
          <w:color w:val="auto"/>
        </w:rPr>
        <w:t>通过集团移动端APP提供便捷的移动应用，支持数据确认流程与看板查询。移动端可实时查看四费总额及变化趋势，按单位、类型下钻；展示履职待遇总体执行情况，支持按人员、费用类型钻取；提供个人履职待遇专属看板。严格权限控制，确保数据安全，实现随时随地的管控与查询。</w:t>
      </w:r>
    </w:p>
    <w:p w14:paraId="41CA8C3B">
      <w:pPr>
        <w:widowControl/>
        <w:snapToGrid w:val="0"/>
        <w:spacing w:line="560" w:lineRule="exact"/>
        <w:ind w:firstLine="0" w:firstLineChars="0"/>
        <w:rPr>
          <w:rFonts w:ascii="微软雅黑" w:hAnsi="微软雅黑" w:eastAsia="微软雅黑" w:cs="Times New Roman"/>
          <w:b w:val="0"/>
          <w:bCs w:val="0"/>
          <w:color w:val="auto"/>
          <w:sz w:val="24"/>
        </w:rPr>
      </w:pPr>
    </w:p>
    <w:p w14:paraId="64D4025F">
      <w:pPr>
        <w:pStyle w:val="12"/>
        <w:bidi w:val="0"/>
      </w:pPr>
    </w:p>
    <w:sectPr>
      <w:headerReference r:id="rId3" w:type="default"/>
      <w:footerReference r:id="rId5" w:type="default"/>
      <w:headerReference r:id="rId4" w:type="even"/>
      <w:footerReference r:id="rId6" w:type="even"/>
      <w:pgSz w:w="11906" w:h="16838"/>
      <w:pgMar w:top="2098" w:right="1474" w:bottom="1984" w:left="1587" w:header="851" w:footer="141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19D05">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BF56BA1">
                          <w:pPr>
                            <w:pStyle w:val="14"/>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wps:txbx>
                    <wps:bodyPr rot="0" spcFirstLastPara="0" vertOverflow="overflow" horzOverflow="overflow" vert="horz" wrap="none" lIns="203200" tIns="0" rIns="20320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59264;mso-width-relative:page;mso-height-relative:page;" filled="f" stroked="f" coordsize="21600,21600" o:gfxdata="UEsDBAoAAAAAAIdO4kAAAAAAAAAAAAAAAAAEAAAAZHJzL1BLAwQUAAAACACHTuJABqVKztYAAAAG&#10;AQAADwAAAGRycy9kb3ducmV2LnhtbE2PQU/DMAyF70j7D5EncWPJephKabrDJoQEEoLBpB2zxkur&#10;NU7XZFvh12NOcPKznvXe53I5+k5ccIhtIA3zmQKBVAfbktPw+fF4l4OIyZA1XSDU8IURltXkpjSF&#10;DVd6x8smOcEhFAujoUmpL6SMdYPexFnokdg7hMGbxOvgpB3MlcN9JzOlFtKblrihMT2uGqyPm7Pn&#10;kva0dWPYPW2/n0/0tti5l9e10/p2OlcPIBKO6e8YfvEZHSpm2ocz2Sg6DfxI0pDxYDPLcxZ7FvdK&#10;gaxK+R+/+gFQSwMEFAAAAAgAh07iQFW2BAriAgAALgYAAA4AAABkcnMvZTJvRG9jLnhtbK1UzW7b&#10;MAy+D9g7CLq7tlM3dYw6RRrXw4BgLdANOyuyHBuTJUFSfrph1+0Ndtpl9z1Xn2OUnJ+mG4YCWw4O&#10;RVIkv48ULy43HUcrpk0rRY7jkwgjJqisWrHI8bu3ZZBiZCwRFeFSsBzfM4Mvxy9fXKxVxgaykbxi&#10;GkEQYbK1ynFjrcrC0NCGdcScSMUEGGupO2LhqBdhpckaonc8HETRMFxLXSktKTMGtEVvxNuI+jkB&#10;ZV23lBWSLjsmbB9VM04sQDJNqwwe+2rrmlF7U9eGWcRzDEit/0ISkOfuG44vSLbQRDUt3ZZAnlPC&#10;E0wdaQUk3YcqiCVoqdvfQnUt1dLI2p5Q2YU9EM8IoIijJ9zcNUQxjwWoNmpPuvl/Yemb1a1GbQWT&#10;gJEgHTT84dvXh+8/H358QbGjZ61MBl53Cvzs5kpunOtWb0DpUG9q3bl/wIPADuTe78llG4uou5QO&#10;0jQCEwXb7gBxwsN1pY19xWSHnJBjDd3zpJLVzNjedefisglZtpyDnmRcoHWOh6dnkb+wt0BwLpwD&#10;VAExtlLfmU+jaHSdXqdJkAyG10ESFUUwKadJMCzj87PitJhOi/izixcnWdNWFRMu325K4uR5XdhO&#10;St/f/ZwYydvKhXMlGb2YT7lGKwJTWvqfYxiKf+QWHpfhzYDqCaR4kERXg1FQDtPzICmTs2B0HqVB&#10;FI+uRsMoGSVFeQxp1gr275CO2H9UNMlcw/bY5pzQD3+F5so5QAMGdo0L3Rz28+Yku5lvgCInzmV1&#10;D7OpZf+4jaJlC0lnxNhbouE1w8zBvrM38Km5hDmRWwmjRuqPf9I7f2gvWDFaw3bIsYBliBF/LeDx&#10;DaJT2GSwTfwJBH2knu/UYtlNJbQUnhZU5UXnbPlOrLXs3sM6nLhsYCKCQs4c2504tf2ugnVK2WTi&#10;nZZKt4umvwBLRBE7E3eKujR+mNRkaeFl+Adz4AdIdQdYI57e7cpze+rx2Xsd1vz4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AalSs7WAAAABgEAAA8AAAAAAAAAAQAgAAAAIgAAAGRycy9kb3ducmV2&#10;LnhtbFBLAQIUABQAAAAIAIdO4kBVtgQK4gIAAC4GAAAOAAAAAAAAAAEAIAAAACUBAABkcnMvZTJv&#10;RG9jLnhtbFBLBQYAAAAABgAGAFkBAAB5BgAAAAA=&#10;">
              <v:fill on="f" focussize="0,0"/>
              <v:stroke on="f" weight="0.5pt"/>
              <v:imagedata o:title=""/>
              <o:lock v:ext="edit" aspectratio="f"/>
              <v:textbox inset="16pt,0mm,16pt,0mm" style="mso-fit-shape-to-text:t;">
                <w:txbxContent>
                  <w:p w14:paraId="4BF56BA1">
                    <w:pPr>
                      <w:pStyle w:val="14"/>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7FAF1">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8CD38D">
                          <w:pPr>
                            <w:pStyle w:val="14"/>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wps:txbx>
                    <wps:bodyPr rot="0" spcFirstLastPara="0" vertOverflow="overflow" horzOverflow="overflow" vert="horz" wrap="none" lIns="203200" tIns="0" rIns="20320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60288;mso-width-relative:page;mso-height-relative:page;" filled="f" stroked="f" coordsize="21600,21600" o:gfxdata="UEsDBAoAAAAAAIdO4kAAAAAAAAAAAAAAAAAEAAAAZHJzL1BLAwQUAAAACACHTuJABqVKztYAAAAG&#10;AQAADwAAAGRycy9kb3ducmV2LnhtbE2PQU/DMAyF70j7D5EncWPJephKabrDJoQEEoLBpB2zxkur&#10;NU7XZFvh12NOcPKznvXe53I5+k5ccIhtIA3zmQKBVAfbktPw+fF4l4OIyZA1XSDU8IURltXkpjSF&#10;DVd6x8smOcEhFAujoUmpL6SMdYPexFnokdg7hMGbxOvgpB3MlcN9JzOlFtKblrihMT2uGqyPm7Pn&#10;kva0dWPYPW2/n0/0tti5l9e10/p2OlcPIBKO6e8YfvEZHSpm2ocz2Sg6DfxI0pDxYDPLcxZ7FvdK&#10;gaxK+R+/+gFQSwMEFAAAAAgAh07iQNbb3QHjAgAALgYAAA4AAABkcnMvZTJvRG9jLnhtbK1UzW7b&#10;MAy+D9g7CLq7thM3dYI6RRrXw4BiLdANOyuyHBuTJUFSfrph1+0Ndtpl9z1Xn2OUHCdNNwwFthwc&#10;iqRIfh8pnl9sW47WTJtGigzHJxFGTFBZNmKZ4XdviyDFyFgiSsKlYBm+ZwZfTF++ON+oCRvIWvKS&#10;aQRBhJlsVIZra9UkDA2tWUvMiVRMgLGSuiUWjnoZlppsIHrLw0EUjcKN1KXSkjJjQJt3RryLqJ8T&#10;UFZVQ1ku6aplwnZRNePEAiRTN8rgqa+2qhi1N1VlmEU8w4DU+i8kAXnhvuH0nEyWmqi6obsSyHNK&#10;eIKpJY2ApPtQObEErXTzW6i2oVoaWdkTKtuwA+IZARRx9ISbu5oo5rEA1UbtSTf/Lyx9s77VqCkz&#10;PMRIkBYa/vDt68P3nw8/vqCho2ejzAS87hT42e2l3MLQ9HoDSod6W+nW/QMeBHYg935PLttaRN2l&#10;dJCmEZgo2PoDxA8P15U29hWTLXJChjV0z5NK1tfGdq69i8smZNFw7jvIBdpkeDQ8jfyFvQWCc+F8&#10;oQqIsZO6znwaR+Or9CpNgmQwugqSKM+DWTFPglERn53mw3w+z+PPLl6cTOqmLJlw+fopiZPndWE3&#10;KV1/93NiJG9KF86VZPRyMecarQlMaeF/jmEo/pFbeFyGNwOqJ5DiQRJdDsZBMUrPgqRIToPxWZQG&#10;UTy+HI+iZJzkxTGk60awf4d0xP6josnENWyPbcEJ/fBXaK6cAzRgoG9c6Oawmzcn2e1iCxQ5cSHL&#10;e5hNLbvHbRQtGkh6TYy9JRpeM8wc7Dt7A5+KS5gTuZMwqqX++Ce984f2ghWjDWyHDAtYhhjx1wIe&#10;3yAawiaDbeJPIOgj9aJXi1U7l9DSGDaqol50zpb3YqVl+x7W4cxlAxMRFHJm2Pbi3Ha7CtYpZbOZ&#10;d1op3Szr7gIsEUXstbhT1KXxw6RmKwsvwz+YAz9AqjvAGvH07lae21OPz97rsOan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GpUrO1gAAAAYBAAAPAAAAAAAAAAEAIAAAACIAAABkcnMvZG93bnJl&#10;di54bWxQSwECFAAUAAAACACHTuJA1tvdAeMCAAAuBgAADgAAAAAAAAABACAAAAAlAQAAZHJzL2Uy&#10;b0RvYy54bWxQSwUGAAAAAAYABgBZAQAAegYAAAAA&#10;">
              <v:fill on="f" focussize="0,0"/>
              <v:stroke on="f" weight="0.5pt"/>
              <v:imagedata o:title=""/>
              <o:lock v:ext="edit" aspectratio="f"/>
              <v:textbox inset="16pt,0mm,16pt,0mm" style="mso-fit-shape-to-text:t;">
                <w:txbxContent>
                  <w:p w14:paraId="468CD38D">
                    <w:pPr>
                      <w:pStyle w:val="14"/>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4E806">
    <w:pPr>
      <w:pStyle w:val="15"/>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7E440">
    <w:pPr>
      <w:pStyle w:val="1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FF0A22"/>
    <w:multiLevelType w:val="singleLevel"/>
    <w:tmpl w:val="8CFF0A22"/>
    <w:lvl w:ilvl="0" w:tentative="0">
      <w:start w:val="1"/>
      <w:numFmt w:val="taiwaneseCounting"/>
      <w:suff w:val="nothing"/>
      <w:lvlText w:val="%1、"/>
      <w:lvlJc w:val="left"/>
      <w:pPr>
        <w:ind w:left="0" w:firstLine="640"/>
      </w:pPr>
      <w:rPr>
        <w:rFonts w:hint="eastAsia"/>
      </w:rPr>
    </w:lvl>
  </w:abstractNum>
  <w:abstractNum w:abstractNumId="1">
    <w:nsid w:val="9B310C4F"/>
    <w:multiLevelType w:val="singleLevel"/>
    <w:tmpl w:val="9B310C4F"/>
    <w:lvl w:ilvl="0" w:tentative="0">
      <w:start w:val="1"/>
      <w:numFmt w:val="decimal"/>
      <w:suff w:val="nothing"/>
      <w:lvlText w:val="%1．"/>
      <w:lvlJc w:val="left"/>
      <w:pPr>
        <w:ind w:left="0" w:firstLine="640"/>
      </w:pPr>
      <w:rPr>
        <w:rFonts w:hint="default"/>
      </w:rPr>
    </w:lvl>
  </w:abstractNum>
  <w:abstractNum w:abstractNumId="2">
    <w:nsid w:val="A44521DC"/>
    <w:multiLevelType w:val="singleLevel"/>
    <w:tmpl w:val="A44521DC"/>
    <w:lvl w:ilvl="0" w:tentative="0">
      <w:start w:val="1"/>
      <w:numFmt w:val="decimal"/>
      <w:suff w:val="nothing"/>
      <w:lvlText w:val="%1．"/>
      <w:lvlJc w:val="left"/>
      <w:pPr>
        <w:ind w:left="0" w:firstLine="640"/>
      </w:pPr>
      <w:rPr>
        <w:rFonts w:hint="default"/>
      </w:rPr>
    </w:lvl>
  </w:abstractNum>
  <w:abstractNum w:abstractNumId="3">
    <w:nsid w:val="D214EA7A"/>
    <w:multiLevelType w:val="singleLevel"/>
    <w:tmpl w:val="D214EA7A"/>
    <w:lvl w:ilvl="0" w:tentative="0">
      <w:start w:val="1"/>
      <w:numFmt w:val="decimal"/>
      <w:suff w:val="nothing"/>
      <w:lvlText w:val="%1．"/>
      <w:lvlJc w:val="left"/>
      <w:pPr>
        <w:ind w:left="0" w:firstLine="640"/>
      </w:pPr>
      <w:rPr>
        <w:rFonts w:hint="default"/>
      </w:rPr>
    </w:lvl>
  </w:abstractNum>
  <w:abstractNum w:abstractNumId="4">
    <w:nsid w:val="E160E3F1"/>
    <w:multiLevelType w:val="singleLevel"/>
    <w:tmpl w:val="E160E3F1"/>
    <w:lvl w:ilvl="0" w:tentative="0">
      <w:start w:val="1"/>
      <w:numFmt w:val="decimal"/>
      <w:suff w:val="space"/>
      <w:lvlText w:val="3.2.2.%1"/>
      <w:lvlJc w:val="left"/>
      <w:pPr>
        <w:ind w:left="0" w:firstLine="640"/>
      </w:pPr>
      <w:rPr>
        <w:rFonts w:hint="default"/>
      </w:rPr>
    </w:lvl>
  </w:abstractNum>
  <w:abstractNum w:abstractNumId="5">
    <w:nsid w:val="EE3B0446"/>
    <w:multiLevelType w:val="singleLevel"/>
    <w:tmpl w:val="EE3B0446"/>
    <w:lvl w:ilvl="0" w:tentative="0">
      <w:start w:val="1"/>
      <w:numFmt w:val="decimal"/>
      <w:suff w:val="nothing"/>
      <w:lvlText w:val="（%1）"/>
      <w:lvlJc w:val="left"/>
      <w:pPr>
        <w:ind w:left="0" w:firstLine="640"/>
      </w:pPr>
      <w:rPr>
        <w:rFonts w:hint="default"/>
      </w:rPr>
    </w:lvl>
  </w:abstractNum>
  <w:abstractNum w:abstractNumId="6">
    <w:nsid w:val="F3D93551"/>
    <w:multiLevelType w:val="singleLevel"/>
    <w:tmpl w:val="F3D93551"/>
    <w:lvl w:ilvl="0" w:tentative="0">
      <w:start w:val="1"/>
      <w:numFmt w:val="decimal"/>
      <w:suff w:val="nothing"/>
      <w:lvlText w:val="（%1）"/>
      <w:lvlJc w:val="left"/>
      <w:pPr>
        <w:ind w:left="0" w:firstLine="640"/>
      </w:pPr>
      <w:rPr>
        <w:rFonts w:hint="default"/>
      </w:rPr>
    </w:lvl>
  </w:abstractNum>
  <w:abstractNum w:abstractNumId="7">
    <w:nsid w:val="F63FC734"/>
    <w:multiLevelType w:val="singleLevel"/>
    <w:tmpl w:val="F63FC734"/>
    <w:lvl w:ilvl="0" w:tentative="0">
      <w:start w:val="1"/>
      <w:numFmt w:val="taiwaneseCounting"/>
      <w:suff w:val="nothing"/>
      <w:lvlText w:val="（%1）"/>
      <w:lvlJc w:val="left"/>
      <w:pPr>
        <w:ind w:left="0" w:firstLine="640"/>
      </w:pPr>
      <w:rPr>
        <w:rFonts w:hint="eastAsia"/>
      </w:rPr>
    </w:lvl>
  </w:abstractNum>
  <w:abstractNum w:abstractNumId="8">
    <w:nsid w:val="FA670AB5"/>
    <w:multiLevelType w:val="singleLevel"/>
    <w:tmpl w:val="FA670AB5"/>
    <w:lvl w:ilvl="0" w:tentative="0">
      <w:start w:val="1"/>
      <w:numFmt w:val="decimal"/>
      <w:suff w:val="nothing"/>
      <w:lvlText w:val="%1．"/>
      <w:lvlJc w:val="left"/>
      <w:pPr>
        <w:ind w:left="0" w:firstLine="640"/>
      </w:pPr>
      <w:rPr>
        <w:rFonts w:hint="default"/>
      </w:rPr>
    </w:lvl>
  </w:abstractNum>
  <w:abstractNum w:abstractNumId="9">
    <w:nsid w:val="FE0A4B8A"/>
    <w:multiLevelType w:val="singleLevel"/>
    <w:tmpl w:val="FE0A4B8A"/>
    <w:lvl w:ilvl="0" w:tentative="0">
      <w:start w:val="1"/>
      <w:numFmt w:val="decimal"/>
      <w:suff w:val="nothing"/>
      <w:lvlText w:val="%1．"/>
      <w:lvlJc w:val="left"/>
      <w:pPr>
        <w:ind w:left="0" w:firstLine="640"/>
      </w:pPr>
      <w:rPr>
        <w:rFonts w:hint="default"/>
      </w:rPr>
    </w:lvl>
  </w:abstractNum>
  <w:abstractNum w:abstractNumId="10">
    <w:nsid w:val="FF46F3C9"/>
    <w:multiLevelType w:val="singleLevel"/>
    <w:tmpl w:val="FF46F3C9"/>
    <w:lvl w:ilvl="0" w:tentative="0">
      <w:start w:val="1"/>
      <w:numFmt w:val="decimal"/>
      <w:suff w:val="nothing"/>
      <w:lvlText w:val="%1．"/>
      <w:lvlJc w:val="left"/>
      <w:pPr>
        <w:ind w:left="0" w:firstLine="640"/>
      </w:pPr>
      <w:rPr>
        <w:rFonts w:hint="default"/>
      </w:rPr>
    </w:lvl>
  </w:abstractNum>
  <w:abstractNum w:abstractNumId="11">
    <w:nsid w:val="00000001"/>
    <w:multiLevelType w:val="multilevel"/>
    <w:tmpl w:val="0000000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00000002"/>
    <w:multiLevelType w:val="multilevel"/>
    <w:tmpl w:val="0000000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1A2E20C5"/>
    <w:multiLevelType w:val="singleLevel"/>
    <w:tmpl w:val="1A2E20C5"/>
    <w:lvl w:ilvl="0" w:tentative="0">
      <w:start w:val="1"/>
      <w:numFmt w:val="decimal"/>
      <w:suff w:val="nothing"/>
      <w:lvlText w:val="%1．"/>
      <w:lvlJc w:val="left"/>
      <w:pPr>
        <w:ind w:left="0" w:firstLine="640"/>
      </w:pPr>
      <w:rPr>
        <w:rFonts w:hint="default"/>
      </w:rPr>
    </w:lvl>
  </w:abstractNum>
  <w:abstractNum w:abstractNumId="14">
    <w:nsid w:val="1F3F22D2"/>
    <w:multiLevelType w:val="singleLevel"/>
    <w:tmpl w:val="1F3F22D2"/>
    <w:lvl w:ilvl="0" w:tentative="0">
      <w:start w:val="1"/>
      <w:numFmt w:val="decimal"/>
      <w:suff w:val="space"/>
      <w:lvlText w:val="4.1.2.%1"/>
      <w:lvlJc w:val="left"/>
      <w:pPr>
        <w:ind w:left="0" w:firstLine="640"/>
      </w:pPr>
      <w:rPr>
        <w:rFonts w:hint="default"/>
      </w:rPr>
    </w:lvl>
  </w:abstractNum>
  <w:abstractNum w:abstractNumId="15">
    <w:nsid w:val="1F8B042A"/>
    <w:multiLevelType w:val="singleLevel"/>
    <w:tmpl w:val="1F8B042A"/>
    <w:lvl w:ilvl="0" w:tentative="0">
      <w:start w:val="1"/>
      <w:numFmt w:val="decimal"/>
      <w:suff w:val="nothing"/>
      <w:lvlText w:val="（%1）"/>
      <w:lvlJc w:val="left"/>
      <w:pPr>
        <w:ind w:left="0" w:firstLine="640"/>
      </w:pPr>
      <w:rPr>
        <w:rFonts w:hint="default"/>
      </w:rPr>
    </w:lvl>
  </w:abstractNum>
  <w:abstractNum w:abstractNumId="16">
    <w:nsid w:val="25EE5A47"/>
    <w:multiLevelType w:val="multilevel"/>
    <w:tmpl w:val="25EE5A47"/>
    <w:lvl w:ilvl="0" w:tentative="0">
      <w:start w:val="1"/>
      <w:numFmt w:val="decimal"/>
      <w:lvlText w:val="%1."/>
      <w:lvlJc w:val="left"/>
      <w:pPr>
        <w:ind w:left="425" w:hanging="425"/>
      </w:p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b/>
      </w:rPr>
    </w:lvl>
    <w:lvl w:ilvl="3" w:tentative="0">
      <w:start w:val="1"/>
      <w:numFmt w:val="decimal"/>
      <w:pStyle w:val="29"/>
      <w:lvlText w:val="%1.%2.%3.%4."/>
      <w:lvlJc w:val="left"/>
      <w:pPr>
        <w:ind w:left="851" w:hanging="851"/>
      </w:pPr>
    </w:lvl>
    <w:lvl w:ilvl="4" w:tentative="0">
      <w:start w:val="1"/>
      <w:numFmt w:val="decimal"/>
      <w:pStyle w:val="30"/>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7">
    <w:nsid w:val="297E8F79"/>
    <w:multiLevelType w:val="singleLevel"/>
    <w:tmpl w:val="297E8F79"/>
    <w:lvl w:ilvl="0" w:tentative="0">
      <w:start w:val="1"/>
      <w:numFmt w:val="taiwaneseCounting"/>
      <w:suff w:val="nothing"/>
      <w:lvlText w:val="（%1）"/>
      <w:lvlJc w:val="left"/>
      <w:pPr>
        <w:ind w:left="0" w:firstLine="640"/>
      </w:pPr>
      <w:rPr>
        <w:rFonts w:hint="eastAsia"/>
      </w:rPr>
    </w:lvl>
  </w:abstractNum>
  <w:abstractNum w:abstractNumId="18">
    <w:nsid w:val="2EB916F7"/>
    <w:multiLevelType w:val="singleLevel"/>
    <w:tmpl w:val="2EB916F7"/>
    <w:lvl w:ilvl="0" w:tentative="0">
      <w:start w:val="1"/>
      <w:numFmt w:val="decimal"/>
      <w:suff w:val="nothing"/>
      <w:lvlText w:val="（%1）"/>
      <w:lvlJc w:val="left"/>
      <w:pPr>
        <w:ind w:left="0" w:firstLine="482"/>
      </w:pPr>
      <w:rPr>
        <w:rFonts w:hint="default"/>
      </w:rPr>
    </w:lvl>
  </w:abstractNum>
  <w:abstractNum w:abstractNumId="19">
    <w:nsid w:val="4957401E"/>
    <w:multiLevelType w:val="multilevel"/>
    <w:tmpl w:val="4957401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
    <w:nsid w:val="4AC163EC"/>
    <w:multiLevelType w:val="singleLevel"/>
    <w:tmpl w:val="4AC163EC"/>
    <w:lvl w:ilvl="0" w:tentative="0">
      <w:start w:val="1"/>
      <w:numFmt w:val="decimal"/>
      <w:suff w:val="nothing"/>
      <w:lvlText w:val="%1．"/>
      <w:lvlJc w:val="left"/>
      <w:pPr>
        <w:ind w:left="0" w:firstLine="640"/>
      </w:pPr>
      <w:rPr>
        <w:rFonts w:hint="default"/>
      </w:rPr>
    </w:lvl>
  </w:abstractNum>
  <w:abstractNum w:abstractNumId="21">
    <w:nsid w:val="5003D6D2"/>
    <w:multiLevelType w:val="singleLevel"/>
    <w:tmpl w:val="5003D6D2"/>
    <w:lvl w:ilvl="0" w:tentative="0">
      <w:start w:val="1"/>
      <w:numFmt w:val="decimal"/>
      <w:suff w:val="nothing"/>
      <w:lvlText w:val="（%1）"/>
      <w:lvlJc w:val="left"/>
      <w:pPr>
        <w:ind w:left="0" w:firstLine="640"/>
      </w:pPr>
      <w:rPr>
        <w:rFonts w:hint="default"/>
      </w:rPr>
    </w:lvl>
  </w:abstractNum>
  <w:abstractNum w:abstractNumId="22">
    <w:nsid w:val="6645B90D"/>
    <w:multiLevelType w:val="singleLevel"/>
    <w:tmpl w:val="6645B90D"/>
    <w:lvl w:ilvl="0" w:tentative="0">
      <w:start w:val="1"/>
      <w:numFmt w:val="decimal"/>
      <w:suff w:val="nothing"/>
      <w:lvlText w:val="%1．"/>
      <w:lvlJc w:val="left"/>
      <w:pPr>
        <w:ind w:left="0" w:firstLine="640"/>
      </w:pPr>
      <w:rPr>
        <w:rFonts w:hint="default"/>
      </w:rPr>
    </w:lvl>
  </w:abstractNum>
  <w:abstractNum w:abstractNumId="23">
    <w:nsid w:val="670361AE"/>
    <w:multiLevelType w:val="singleLevel"/>
    <w:tmpl w:val="670361AE"/>
    <w:lvl w:ilvl="0" w:tentative="0">
      <w:start w:val="1"/>
      <w:numFmt w:val="decimal"/>
      <w:suff w:val="space"/>
      <w:lvlText w:val=""/>
      <w:lvlJc w:val="left"/>
      <w:pPr>
        <w:ind w:left="0" w:firstLine="562"/>
      </w:pPr>
      <w:rPr>
        <w:rFonts w:hint="default"/>
      </w:rPr>
    </w:lvl>
  </w:abstractNum>
  <w:abstractNum w:abstractNumId="24">
    <w:nsid w:val="69D897EE"/>
    <w:multiLevelType w:val="singleLevel"/>
    <w:tmpl w:val="69D897EE"/>
    <w:lvl w:ilvl="0" w:tentative="0">
      <w:start w:val="1"/>
      <w:numFmt w:val="taiwaneseCounting"/>
      <w:suff w:val="nothing"/>
      <w:lvlText w:val="（%1）"/>
      <w:lvlJc w:val="left"/>
      <w:pPr>
        <w:ind w:left="0" w:firstLine="640"/>
      </w:pPr>
      <w:rPr>
        <w:rFonts w:hint="eastAsia"/>
      </w:rPr>
    </w:lvl>
  </w:abstractNum>
  <w:abstractNum w:abstractNumId="25">
    <w:nsid w:val="7F57314A"/>
    <w:multiLevelType w:val="singleLevel"/>
    <w:tmpl w:val="7F57314A"/>
    <w:lvl w:ilvl="0" w:tentative="0">
      <w:start w:val="1"/>
      <w:numFmt w:val="taiwaneseCounting"/>
      <w:suff w:val="nothing"/>
      <w:lvlText w:val="（%1）"/>
      <w:lvlJc w:val="left"/>
      <w:pPr>
        <w:ind w:left="0" w:firstLine="640"/>
      </w:pPr>
      <w:rPr>
        <w:rFonts w:hint="eastAsia"/>
      </w:rPr>
    </w:lvl>
  </w:abstractNum>
  <w:num w:numId="1">
    <w:abstractNumId w:val="16"/>
  </w:num>
  <w:num w:numId="2">
    <w:abstractNumId w:val="0"/>
  </w:num>
  <w:num w:numId="3">
    <w:abstractNumId w:val="7"/>
  </w:num>
  <w:num w:numId="4">
    <w:abstractNumId w:val="25"/>
  </w:num>
  <w:num w:numId="5">
    <w:abstractNumId w:val="8"/>
  </w:num>
  <w:num w:numId="6">
    <w:abstractNumId w:val="22"/>
  </w:num>
  <w:num w:numId="7">
    <w:abstractNumId w:val="24"/>
  </w:num>
  <w:num w:numId="8">
    <w:abstractNumId w:val="2"/>
  </w:num>
  <w:num w:numId="9">
    <w:abstractNumId w:val="20"/>
  </w:num>
  <w:num w:numId="10">
    <w:abstractNumId w:val="5"/>
  </w:num>
  <w:num w:numId="11">
    <w:abstractNumId w:val="4"/>
  </w:num>
  <w:num w:numId="12">
    <w:abstractNumId w:val="17"/>
  </w:num>
  <w:num w:numId="13">
    <w:abstractNumId w:val="1"/>
  </w:num>
  <w:num w:numId="14">
    <w:abstractNumId w:val="14"/>
  </w:num>
  <w:num w:numId="15">
    <w:abstractNumId w:val="12"/>
  </w:num>
  <w:num w:numId="16">
    <w:abstractNumId w:val="10"/>
  </w:num>
  <w:num w:numId="17">
    <w:abstractNumId w:val="3"/>
  </w:num>
  <w:num w:numId="18">
    <w:abstractNumId w:val="9"/>
  </w:num>
  <w:num w:numId="19">
    <w:abstractNumId w:val="15"/>
  </w:num>
  <w:num w:numId="20">
    <w:abstractNumId w:val="6"/>
  </w:num>
  <w:num w:numId="21">
    <w:abstractNumId w:val="19"/>
  </w:num>
  <w:num w:numId="22">
    <w:abstractNumId w:val="13"/>
  </w:num>
  <w:num w:numId="23">
    <w:abstractNumId w:val="18"/>
  </w:num>
  <w:num w:numId="24">
    <w:abstractNumId w:val="11"/>
  </w:num>
  <w:num w:numId="25">
    <w:abstractNumId w:val="23"/>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420"/>
  <w:evenAndOddHeaders w:val="1"/>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506FB7"/>
    <w:rsid w:val="000140E6"/>
    <w:rsid w:val="000378A3"/>
    <w:rsid w:val="0005242D"/>
    <w:rsid w:val="00052A61"/>
    <w:rsid w:val="00062B80"/>
    <w:rsid w:val="000631E3"/>
    <w:rsid w:val="00072ADE"/>
    <w:rsid w:val="00081583"/>
    <w:rsid w:val="00156A17"/>
    <w:rsid w:val="0017638B"/>
    <w:rsid w:val="001B2AFF"/>
    <w:rsid w:val="001B349B"/>
    <w:rsid w:val="001F7B10"/>
    <w:rsid w:val="002012CA"/>
    <w:rsid w:val="00231E73"/>
    <w:rsid w:val="002922E3"/>
    <w:rsid w:val="00292CFA"/>
    <w:rsid w:val="002A40D7"/>
    <w:rsid w:val="002C6E11"/>
    <w:rsid w:val="002F1EE5"/>
    <w:rsid w:val="0030451F"/>
    <w:rsid w:val="0033507E"/>
    <w:rsid w:val="00347DDA"/>
    <w:rsid w:val="003543F2"/>
    <w:rsid w:val="00360970"/>
    <w:rsid w:val="00376273"/>
    <w:rsid w:val="00383E29"/>
    <w:rsid w:val="003912B3"/>
    <w:rsid w:val="003A14C7"/>
    <w:rsid w:val="003B085F"/>
    <w:rsid w:val="003B6CE8"/>
    <w:rsid w:val="003D1F43"/>
    <w:rsid w:val="003F2672"/>
    <w:rsid w:val="00403FB3"/>
    <w:rsid w:val="00431AA6"/>
    <w:rsid w:val="00450C7E"/>
    <w:rsid w:val="00451D61"/>
    <w:rsid w:val="004616C5"/>
    <w:rsid w:val="004F5590"/>
    <w:rsid w:val="005054B0"/>
    <w:rsid w:val="0051667F"/>
    <w:rsid w:val="00527AE0"/>
    <w:rsid w:val="00534634"/>
    <w:rsid w:val="0057610E"/>
    <w:rsid w:val="00583EAA"/>
    <w:rsid w:val="005B795F"/>
    <w:rsid w:val="005E0CC0"/>
    <w:rsid w:val="005F50E8"/>
    <w:rsid w:val="006031FB"/>
    <w:rsid w:val="006221C4"/>
    <w:rsid w:val="00633731"/>
    <w:rsid w:val="0065330F"/>
    <w:rsid w:val="00655A1C"/>
    <w:rsid w:val="006B53C5"/>
    <w:rsid w:val="006D513E"/>
    <w:rsid w:val="006D768D"/>
    <w:rsid w:val="00722D4F"/>
    <w:rsid w:val="007328D7"/>
    <w:rsid w:val="007617B8"/>
    <w:rsid w:val="007922FB"/>
    <w:rsid w:val="007D0B06"/>
    <w:rsid w:val="007D4E0F"/>
    <w:rsid w:val="00810018"/>
    <w:rsid w:val="00865774"/>
    <w:rsid w:val="00895992"/>
    <w:rsid w:val="00895F1C"/>
    <w:rsid w:val="008B294B"/>
    <w:rsid w:val="008C0A5B"/>
    <w:rsid w:val="008D27E2"/>
    <w:rsid w:val="008D604B"/>
    <w:rsid w:val="009203C4"/>
    <w:rsid w:val="009251B3"/>
    <w:rsid w:val="009415B0"/>
    <w:rsid w:val="009A04C8"/>
    <w:rsid w:val="00A13BE4"/>
    <w:rsid w:val="00A27F40"/>
    <w:rsid w:val="00A65E98"/>
    <w:rsid w:val="00A93355"/>
    <w:rsid w:val="00AD2E07"/>
    <w:rsid w:val="00AF4BD8"/>
    <w:rsid w:val="00B24D07"/>
    <w:rsid w:val="00B679BA"/>
    <w:rsid w:val="00B975A1"/>
    <w:rsid w:val="00BC57F7"/>
    <w:rsid w:val="00BD75CE"/>
    <w:rsid w:val="00BE3B7F"/>
    <w:rsid w:val="00BE4064"/>
    <w:rsid w:val="00BF49AF"/>
    <w:rsid w:val="00C204D5"/>
    <w:rsid w:val="00C37748"/>
    <w:rsid w:val="00C40994"/>
    <w:rsid w:val="00CB6D3E"/>
    <w:rsid w:val="00CC62FE"/>
    <w:rsid w:val="00CD5E92"/>
    <w:rsid w:val="00CF372D"/>
    <w:rsid w:val="00D453D9"/>
    <w:rsid w:val="00D71F51"/>
    <w:rsid w:val="00D86682"/>
    <w:rsid w:val="00DC5AC0"/>
    <w:rsid w:val="00E03246"/>
    <w:rsid w:val="00E2276F"/>
    <w:rsid w:val="00E23B3F"/>
    <w:rsid w:val="00E269A5"/>
    <w:rsid w:val="00E8442E"/>
    <w:rsid w:val="00E91347"/>
    <w:rsid w:val="00EB43D5"/>
    <w:rsid w:val="00EB7488"/>
    <w:rsid w:val="00ED18A4"/>
    <w:rsid w:val="00EE09AD"/>
    <w:rsid w:val="00EE5B7C"/>
    <w:rsid w:val="00F02B51"/>
    <w:rsid w:val="00F272F0"/>
    <w:rsid w:val="00F759DE"/>
    <w:rsid w:val="00FA08E2"/>
    <w:rsid w:val="00FA349D"/>
    <w:rsid w:val="00FD2835"/>
    <w:rsid w:val="032633D2"/>
    <w:rsid w:val="0D45161A"/>
    <w:rsid w:val="0FED14FF"/>
    <w:rsid w:val="12FB03D7"/>
    <w:rsid w:val="147405FC"/>
    <w:rsid w:val="153D5EE7"/>
    <w:rsid w:val="170035C9"/>
    <w:rsid w:val="170A53EE"/>
    <w:rsid w:val="1A0538E9"/>
    <w:rsid w:val="1A3022CF"/>
    <w:rsid w:val="1C506FB7"/>
    <w:rsid w:val="1F186C38"/>
    <w:rsid w:val="20A601C9"/>
    <w:rsid w:val="20F30EB9"/>
    <w:rsid w:val="24082954"/>
    <w:rsid w:val="25BA0321"/>
    <w:rsid w:val="27EC118E"/>
    <w:rsid w:val="29117C6C"/>
    <w:rsid w:val="2A8B5237"/>
    <w:rsid w:val="2AF6206B"/>
    <w:rsid w:val="2C9B053D"/>
    <w:rsid w:val="2F59346C"/>
    <w:rsid w:val="32A7158A"/>
    <w:rsid w:val="33F119DE"/>
    <w:rsid w:val="36835E6A"/>
    <w:rsid w:val="3FCA3206"/>
    <w:rsid w:val="44AD0546"/>
    <w:rsid w:val="4A9B332A"/>
    <w:rsid w:val="4B6A4D39"/>
    <w:rsid w:val="4B797B0F"/>
    <w:rsid w:val="4B9E6E8F"/>
    <w:rsid w:val="4BD605AA"/>
    <w:rsid w:val="5A9009D2"/>
    <w:rsid w:val="5AB06A57"/>
    <w:rsid w:val="5B2630E4"/>
    <w:rsid w:val="5F3A6F3F"/>
    <w:rsid w:val="5F630706"/>
    <w:rsid w:val="60C70EC5"/>
    <w:rsid w:val="69966649"/>
    <w:rsid w:val="69F84328"/>
    <w:rsid w:val="6A1231B1"/>
    <w:rsid w:val="6DD30EA9"/>
    <w:rsid w:val="6F536752"/>
    <w:rsid w:val="745B60C7"/>
    <w:rsid w:val="76AA133B"/>
    <w:rsid w:val="780315E6"/>
    <w:rsid w:val="7F9A1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officialmode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link w:val="27"/>
    <w:qFormat/>
    <w:uiPriority w:val="0"/>
    <w:pPr>
      <w:keepNext w:val="0"/>
      <w:keepLines w:val="0"/>
      <w:pageBreakBefore w:val="0"/>
      <w:widowControl/>
      <w:kinsoku/>
      <w:wordWrap/>
      <w:overflowPunct/>
      <w:topLinePunct w:val="0"/>
      <w:autoSpaceDE/>
      <w:autoSpaceDN/>
      <w:bidi w:val="0"/>
      <w:adjustRightInd/>
      <w:spacing w:line="560" w:lineRule="exact"/>
      <w:ind w:firstLine="440" w:firstLineChars="200"/>
      <w:jc w:val="both"/>
      <w:textAlignment w:val="auto"/>
      <w:outlineLvl w:val="0"/>
    </w:pPr>
    <w:rPr>
      <w:rFonts w:ascii="黑体" w:hAnsi="黑体" w:eastAsia="黑体" w:cs="黑体"/>
      <w:color w:val="000000"/>
      <w:spacing w:val="0"/>
      <w:sz w:val="32"/>
      <w:szCs w:val="32"/>
      <w:lang w:bidi="ar-SA"/>
    </w:rPr>
  </w:style>
  <w:style w:type="paragraph" w:styleId="3">
    <w:name w:val="heading 2"/>
    <w:next w:val="1"/>
    <w:link w:val="28"/>
    <w:unhideWhenUsed/>
    <w:qFormat/>
    <w:uiPriority w:val="0"/>
    <w:pPr>
      <w:keepNext w:val="0"/>
      <w:keepLines w:val="0"/>
      <w:pageBreakBefore w:val="0"/>
      <w:widowControl/>
      <w:kinsoku/>
      <w:wordWrap/>
      <w:overflowPunct/>
      <w:topLinePunct w:val="0"/>
      <w:autoSpaceDE/>
      <w:autoSpaceDN/>
      <w:bidi w:val="0"/>
      <w:adjustRightInd/>
      <w:spacing w:line="560" w:lineRule="exact"/>
      <w:ind w:left="0" w:leftChars="0" w:firstLine="640" w:firstLineChars="200"/>
      <w:jc w:val="both"/>
      <w:textAlignment w:val="auto"/>
      <w:outlineLvl w:val="1"/>
    </w:pPr>
    <w:rPr>
      <w:rFonts w:ascii="楷体_GB2312" w:hAnsi="楷体_GB2312" w:eastAsia="楷体_GB2312" w:cs="楷体_GB2312"/>
      <w:color w:val="000000"/>
      <w:sz w:val="32"/>
      <w:szCs w:val="32"/>
      <w:lang w:bidi="ar-SA"/>
    </w:rPr>
  </w:style>
  <w:style w:type="paragraph" w:styleId="4">
    <w:name w:val="heading 3"/>
    <w:next w:val="1"/>
    <w:unhideWhenUsed/>
    <w:qFormat/>
    <w:uiPriority w:val="0"/>
    <w:pPr>
      <w:keepNext w:val="0"/>
      <w:keepLines w:val="0"/>
      <w:pageBreakBefore w:val="0"/>
      <w:widowControl/>
      <w:kinsoku/>
      <w:wordWrap/>
      <w:overflowPunct/>
      <w:topLinePunct w:val="0"/>
      <w:autoSpaceDE w:val="0"/>
      <w:autoSpaceDN w:val="0"/>
      <w:bidi w:val="0"/>
      <w:adjustRightInd/>
      <w:spacing w:after="0" w:line="560" w:lineRule="exact"/>
      <w:ind w:right="0" w:rightChars="0" w:firstLine="640" w:firstLineChars="200"/>
      <w:jc w:val="both"/>
      <w:textAlignment w:val="auto"/>
      <w:outlineLvl w:val="2"/>
    </w:pPr>
    <w:rPr>
      <w:rFonts w:ascii="仿宋_GB2312" w:hAnsi="仿宋_GB2312" w:eastAsia="仿宋_GB2312" w:cs="仿宋_GB2312"/>
      <w:color w:val="000000"/>
      <w:sz w:val="32"/>
      <w:szCs w:val="32"/>
      <w:lang w:bidi="ar-SA"/>
    </w:rPr>
  </w:style>
  <w:style w:type="paragraph" w:styleId="5">
    <w:name w:val="heading 4"/>
    <w:next w:val="1"/>
    <w:link w:val="31"/>
    <w:unhideWhenUsed/>
    <w:qFormat/>
    <w:uiPriority w:val="0"/>
    <w:pPr>
      <w:keepNext/>
      <w:keepLines/>
      <w:spacing w:beforeLines="0" w:beforeAutospacing="0" w:afterLines="0" w:afterAutospacing="0" w:line="560" w:lineRule="exact"/>
      <w:ind w:firstLine="894" w:firstLineChars="200"/>
      <w:outlineLvl w:val="3"/>
    </w:pPr>
    <w:rPr>
      <w:rFonts w:ascii="仿宋_GB2312" w:hAnsi="仿宋_GB2312" w:eastAsia="仿宋_GB2312" w:cs="仿宋_GB2312"/>
      <w:sz w:val="32"/>
      <w:szCs w:val="32"/>
    </w:rPr>
  </w:style>
  <w:style w:type="paragraph" w:styleId="6">
    <w:name w:val="heading 5"/>
    <w:next w:val="1"/>
    <w:link w:val="35"/>
    <w:unhideWhenUsed/>
    <w:qFormat/>
    <w:uiPriority w:val="0"/>
    <w:pPr>
      <w:spacing w:line="560" w:lineRule="exact"/>
      <w:ind w:firstLine="894" w:firstLineChars="200"/>
      <w:outlineLvl w:val="4"/>
    </w:pPr>
    <w:rPr>
      <w:rFonts w:ascii="仿宋_GB2312" w:hAnsi="仿宋_GB2312" w:eastAsia="仿宋_GB2312" w:cs="仿宋_GB2312"/>
      <w:sz w:val="32"/>
      <w:szCs w:val="32"/>
    </w:rPr>
  </w:style>
  <w:style w:type="paragraph" w:styleId="7">
    <w:name w:val="heading 6"/>
    <w:next w:val="1"/>
    <w:link w:val="39"/>
    <w:unhideWhenUsed/>
    <w:qFormat/>
    <w:uiPriority w:val="0"/>
    <w:pPr>
      <w:spacing w:line="560" w:lineRule="exact"/>
      <w:ind w:firstLine="894" w:firstLineChars="200"/>
      <w:outlineLvl w:val="5"/>
    </w:pPr>
    <w:rPr>
      <w:rFonts w:ascii="仿宋_GB2312" w:hAnsi="仿宋_GB2312" w:eastAsia="仿宋_GB2312" w:cs="仿宋_GB2312"/>
      <w:sz w:val="32"/>
      <w:szCs w:val="32"/>
    </w:rPr>
  </w:style>
  <w:style w:type="paragraph" w:styleId="8">
    <w:name w:val="heading 7"/>
    <w:next w:val="1"/>
    <w:semiHidden/>
    <w:unhideWhenUsed/>
    <w:qFormat/>
    <w:uiPriority w:val="0"/>
    <w:pPr>
      <w:spacing w:line="560" w:lineRule="exact"/>
      <w:ind w:firstLine="894" w:firstLineChars="200"/>
      <w:outlineLvl w:val="6"/>
    </w:pPr>
    <w:rPr>
      <w:rFonts w:ascii="仿宋_GB2312" w:hAnsi="仿宋_GB2312" w:eastAsia="仿宋_GB2312" w:cs="仿宋_GB2312"/>
      <w:sz w:val="32"/>
      <w:szCs w:val="32"/>
    </w:rPr>
  </w:style>
  <w:style w:type="paragraph" w:styleId="9">
    <w:name w:val="heading 8"/>
    <w:next w:val="1"/>
    <w:semiHidden/>
    <w:unhideWhenUsed/>
    <w:qFormat/>
    <w:uiPriority w:val="0"/>
    <w:pPr>
      <w:spacing w:line="560" w:lineRule="exact"/>
      <w:ind w:firstLine="894" w:firstLineChars="200"/>
      <w:outlineLvl w:val="7"/>
    </w:pPr>
    <w:rPr>
      <w:rFonts w:ascii="仿宋_GB2312" w:hAnsi="仿宋_GB2312" w:eastAsia="仿宋_GB2312" w:cs="仿宋_GB2312"/>
      <w:sz w:val="32"/>
      <w:szCs w:val="32"/>
    </w:rPr>
  </w:style>
  <w:style w:type="paragraph" w:styleId="10">
    <w:name w:val="heading 9"/>
    <w:next w:val="1"/>
    <w:semiHidden/>
    <w:unhideWhenUsed/>
    <w:qFormat/>
    <w:uiPriority w:val="0"/>
    <w:pPr>
      <w:spacing w:line="560" w:lineRule="exact"/>
      <w:ind w:firstLine="894" w:firstLineChars="200"/>
      <w:outlineLvl w:val="8"/>
    </w:pPr>
    <w:rPr>
      <w:rFonts w:ascii="仿宋_GB2312" w:hAnsi="仿宋_GB2312" w:eastAsia="仿宋_GB2312" w:cs="仿宋_GB2312"/>
      <w:sz w:val="32"/>
      <w:szCs w:val="32"/>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24"/>
    <w:qFormat/>
    <w:uiPriority w:val="0"/>
    <w:pPr>
      <w:jc w:val="left"/>
    </w:pPr>
  </w:style>
  <w:style w:type="paragraph" w:styleId="12">
    <w:name w:val="Body Text"/>
    <w:uiPriority w:val="0"/>
    <w:pPr>
      <w:keepNext w:val="0"/>
      <w:keepLines w:val="0"/>
      <w:pageBreakBefore w:val="0"/>
      <w:widowControl/>
      <w:tabs>
        <w:tab w:val="left" w:pos="642"/>
      </w:tabs>
      <w:kinsoku/>
      <w:wordWrap/>
      <w:overflowPunct/>
      <w:topLinePunct w:val="0"/>
      <w:autoSpaceDE w:val="0"/>
      <w:autoSpaceDN w:val="0"/>
      <w:bidi w:val="0"/>
      <w:adjustRightInd/>
      <w:spacing w:after="0" w:line="560" w:lineRule="exact"/>
      <w:ind w:left="0" w:leftChars="0" w:right="0" w:firstLine="640" w:firstLineChars="200"/>
      <w:jc w:val="both"/>
      <w:textAlignment w:val="auto"/>
      <w:outlineLvl w:val="9"/>
    </w:pPr>
    <w:rPr>
      <w:rFonts w:ascii="仿宋_GB2312" w:hAnsi="Calibri" w:eastAsia="仿宋_GB2312" w:cs="Times New Roman"/>
      <w:sz w:val="32"/>
    </w:rPr>
  </w:style>
  <w:style w:type="paragraph" w:styleId="13">
    <w:name w:val="Balloon Text"/>
    <w:basedOn w:val="1"/>
    <w:link w:val="26"/>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6">
    <w:name w:val="Subtitle"/>
    <w:qFormat/>
    <w:uiPriority w:val="0"/>
    <w:pPr>
      <w:spacing w:beforeLines="0" w:beforeAutospacing="0" w:afterLines="0" w:afterAutospacing="0" w:line="720" w:lineRule="exact"/>
      <w:jc w:val="center"/>
      <w:outlineLvl w:val="9"/>
    </w:pPr>
    <w:rPr>
      <w:rFonts w:ascii="方正小标宋简体" w:hAnsi="方正小标宋简体" w:eastAsia="方正小标宋简体" w:cs="方正小标宋简体"/>
      <w:kern w:val="28"/>
      <w:sz w:val="44"/>
      <w:szCs w:val="44"/>
    </w:rPr>
  </w:style>
  <w:style w:type="paragraph" w:styleId="17">
    <w:name w:val="Normal (Web)"/>
    <w:basedOn w:val="1"/>
    <w:qFormat/>
    <w:uiPriority w:val="99"/>
    <w:pPr>
      <w:spacing w:beforeAutospacing="1" w:afterAutospacing="1"/>
      <w:jc w:val="left"/>
    </w:pPr>
    <w:rPr>
      <w:rFonts w:cs="Times New Roman"/>
      <w:kern w:val="0"/>
      <w:sz w:val="24"/>
    </w:rPr>
  </w:style>
  <w:style w:type="paragraph" w:styleId="18">
    <w:name w:val="Title"/>
    <w:qFormat/>
    <w:uiPriority w:val="0"/>
    <w:pPr>
      <w:keepNext w:val="0"/>
      <w:keepLines w:val="0"/>
      <w:pageBreakBefore w:val="0"/>
      <w:widowControl/>
      <w:kinsoku/>
      <w:wordWrap/>
      <w:overflowPunct/>
      <w:topLinePunct w:val="0"/>
      <w:autoSpaceDE w:val="0"/>
      <w:autoSpaceDN w:val="0"/>
      <w:bidi w:val="0"/>
      <w:adjustRightInd/>
      <w:spacing w:before="0" w:after="0" w:line="560" w:lineRule="exact"/>
      <w:ind w:left="0" w:leftChars="0" w:right="142" w:firstLine="0" w:firstLineChars="0"/>
      <w:jc w:val="center"/>
      <w:textAlignment w:val="auto"/>
      <w:outlineLvl w:val="9"/>
    </w:pPr>
    <w:rPr>
      <w:rFonts w:ascii="方正小标宋简体" w:hAnsi="方正小标宋简体" w:eastAsia="方正小标宋简体" w:cs="方正小标宋简体"/>
      <w:color w:val="000000"/>
      <w:sz w:val="44"/>
      <w:szCs w:val="44"/>
      <w:lang w:bidi="ar-SA"/>
    </w:rPr>
  </w:style>
  <w:style w:type="paragraph" w:styleId="19">
    <w:name w:val="annotation subject"/>
    <w:basedOn w:val="11"/>
    <w:next w:val="11"/>
    <w:link w:val="25"/>
    <w:qFormat/>
    <w:uiPriority w:val="0"/>
    <w:rPr>
      <w:b/>
      <w:bCs/>
    </w:rPr>
  </w:style>
  <w:style w:type="character" w:styleId="22">
    <w:name w:val="Strong"/>
    <w:basedOn w:val="21"/>
    <w:qFormat/>
    <w:uiPriority w:val="22"/>
    <w:rPr>
      <w:b/>
    </w:rPr>
  </w:style>
  <w:style w:type="character" w:styleId="23">
    <w:name w:val="annotation reference"/>
    <w:basedOn w:val="21"/>
    <w:qFormat/>
    <w:uiPriority w:val="0"/>
    <w:rPr>
      <w:sz w:val="21"/>
      <w:szCs w:val="21"/>
    </w:rPr>
  </w:style>
  <w:style w:type="character" w:customStyle="1" w:styleId="24">
    <w:name w:val="批注文字 字符"/>
    <w:basedOn w:val="21"/>
    <w:link w:val="11"/>
    <w:qFormat/>
    <w:uiPriority w:val="0"/>
    <w:rPr>
      <w:rFonts w:asciiTheme="minorHAnsi" w:hAnsiTheme="minorHAnsi" w:eastAsiaTheme="minorEastAsia" w:cstheme="minorBidi"/>
      <w:kern w:val="2"/>
      <w:sz w:val="21"/>
      <w:szCs w:val="24"/>
    </w:rPr>
  </w:style>
  <w:style w:type="character" w:customStyle="1" w:styleId="25">
    <w:name w:val="批注主题 字符"/>
    <w:basedOn w:val="24"/>
    <w:link w:val="19"/>
    <w:qFormat/>
    <w:uiPriority w:val="0"/>
    <w:rPr>
      <w:rFonts w:asciiTheme="minorHAnsi" w:hAnsiTheme="minorHAnsi" w:eastAsiaTheme="minorEastAsia" w:cstheme="minorBidi"/>
      <w:b/>
      <w:bCs/>
      <w:kern w:val="2"/>
      <w:sz w:val="21"/>
      <w:szCs w:val="24"/>
    </w:rPr>
  </w:style>
  <w:style w:type="character" w:customStyle="1" w:styleId="26">
    <w:name w:val="批注框文本 字符"/>
    <w:basedOn w:val="21"/>
    <w:link w:val="13"/>
    <w:qFormat/>
    <w:uiPriority w:val="0"/>
    <w:rPr>
      <w:rFonts w:asciiTheme="minorHAnsi" w:hAnsiTheme="minorHAnsi" w:eastAsiaTheme="minorEastAsia" w:cstheme="minorBidi"/>
      <w:kern w:val="2"/>
      <w:sz w:val="18"/>
      <w:szCs w:val="18"/>
    </w:rPr>
  </w:style>
  <w:style w:type="character" w:customStyle="1" w:styleId="27">
    <w:name w:val="标题 1 字符"/>
    <w:basedOn w:val="21"/>
    <w:link w:val="2"/>
    <w:qFormat/>
    <w:uiPriority w:val="0"/>
    <w:rPr>
      <w:rFonts w:ascii="宋体" w:hAnsi="宋体"/>
      <w:b/>
      <w:bCs/>
      <w:kern w:val="44"/>
      <w:sz w:val="48"/>
      <w:szCs w:val="48"/>
    </w:rPr>
  </w:style>
  <w:style w:type="character" w:customStyle="1" w:styleId="28">
    <w:name w:val="标题 2 字符"/>
    <w:basedOn w:val="21"/>
    <w:link w:val="3"/>
    <w:qFormat/>
    <w:uiPriority w:val="0"/>
    <w:rPr>
      <w:rFonts w:ascii="宋体" w:hAnsi="宋体"/>
      <w:b/>
      <w:bCs/>
      <w:sz w:val="36"/>
      <w:szCs w:val="36"/>
    </w:rPr>
  </w:style>
  <w:style w:type="paragraph" w:customStyle="1" w:styleId="29">
    <w:name w:val="4级标题"/>
    <w:basedOn w:val="4"/>
    <w:link w:val="33"/>
    <w:qFormat/>
    <w:uiPriority w:val="0"/>
    <w:pPr>
      <w:keepNext/>
      <w:keepLines/>
      <w:numPr>
        <w:ilvl w:val="3"/>
        <w:numId w:val="1"/>
      </w:numPr>
      <w:spacing w:before="240" w:beforeAutospacing="0" w:after="120" w:afterAutospacing="0" w:line="415" w:lineRule="auto"/>
      <w:jc w:val="both"/>
      <w:outlineLvl w:val="3"/>
    </w:pPr>
    <w:rPr>
      <w:rFonts w:hint="default" w:ascii="Times New Roman" w:hAnsi="Times New Roman"/>
      <w:kern w:val="2"/>
      <w:sz w:val="30"/>
      <w:szCs w:val="30"/>
    </w:rPr>
  </w:style>
  <w:style w:type="paragraph" w:customStyle="1" w:styleId="30">
    <w:name w:val="5级标题"/>
    <w:basedOn w:val="29"/>
    <w:qFormat/>
    <w:uiPriority w:val="0"/>
    <w:pPr>
      <w:numPr>
        <w:ilvl w:val="4"/>
      </w:numPr>
      <w:tabs>
        <w:tab w:val="left" w:pos="360"/>
      </w:tabs>
      <w:outlineLvl w:val="4"/>
    </w:pPr>
    <w:rPr>
      <w:sz w:val="28"/>
    </w:rPr>
  </w:style>
  <w:style w:type="character" w:customStyle="1" w:styleId="31">
    <w:name w:val="标题 4 字符"/>
    <w:basedOn w:val="21"/>
    <w:link w:val="5"/>
    <w:qFormat/>
    <w:uiPriority w:val="0"/>
    <w:rPr>
      <w:rFonts w:asciiTheme="majorHAnsi" w:hAnsiTheme="majorHAnsi" w:eastAsiaTheme="majorEastAsia" w:cstheme="majorBidi"/>
      <w:b/>
      <w:bCs/>
      <w:kern w:val="2"/>
      <w:sz w:val="28"/>
      <w:szCs w:val="28"/>
    </w:rPr>
  </w:style>
  <w:style w:type="paragraph" w:customStyle="1" w:styleId="32">
    <w:name w:val="正文-白皮书"/>
    <w:basedOn w:val="1"/>
    <w:link w:val="34"/>
    <w:qFormat/>
    <w:uiPriority w:val="0"/>
    <w:pPr>
      <w:spacing w:line="360" w:lineRule="auto"/>
      <w:ind w:firstLine="480" w:firstLineChars="200"/>
    </w:pPr>
    <w:rPr>
      <w:rFonts w:ascii="Times New Roman" w:hAnsi="Times New Roman" w:eastAsia="宋体"/>
      <w:sz w:val="24"/>
      <w:szCs w:val="22"/>
    </w:rPr>
  </w:style>
  <w:style w:type="character" w:customStyle="1" w:styleId="33">
    <w:name w:val="4级标题 字符"/>
    <w:basedOn w:val="21"/>
    <w:link w:val="29"/>
    <w:qFormat/>
    <w:uiPriority w:val="0"/>
    <w:rPr>
      <w:b/>
      <w:bCs/>
      <w:kern w:val="2"/>
      <w:sz w:val="30"/>
      <w:szCs w:val="30"/>
    </w:rPr>
  </w:style>
  <w:style w:type="character" w:customStyle="1" w:styleId="34">
    <w:name w:val="正文-白皮书 字符"/>
    <w:basedOn w:val="21"/>
    <w:link w:val="32"/>
    <w:qFormat/>
    <w:uiPriority w:val="0"/>
    <w:rPr>
      <w:rFonts w:cstheme="minorBidi"/>
      <w:kern w:val="2"/>
      <w:sz w:val="24"/>
      <w:szCs w:val="22"/>
    </w:rPr>
  </w:style>
  <w:style w:type="character" w:customStyle="1" w:styleId="35">
    <w:name w:val="标题 5 字符"/>
    <w:basedOn w:val="21"/>
    <w:link w:val="6"/>
    <w:qFormat/>
    <w:uiPriority w:val="0"/>
    <w:rPr>
      <w:rFonts w:asciiTheme="minorHAnsi" w:hAnsiTheme="minorHAnsi" w:eastAsiaTheme="minorEastAsia" w:cstheme="minorBidi"/>
      <w:b/>
      <w:bCs/>
      <w:kern w:val="2"/>
      <w:sz w:val="28"/>
      <w:szCs w:val="28"/>
    </w:rPr>
  </w:style>
  <w:style w:type="table" w:customStyle="1" w:styleId="36">
    <w:name w:val="OP_ExcelTableContent-4202"/>
    <w:basedOn w:val="20"/>
    <w:qFormat/>
    <w:uiPriority w:val="0"/>
    <w:pPr>
      <w:spacing w:after="160" w:line="278" w:lineRule="auto"/>
    </w:pPr>
    <w:rPr>
      <w:rFonts w:ascii="等线" w:hAnsi="等线" w:eastAsia="等线" w:cs="宋体"/>
      <w:color w:val="0E2841"/>
      <w:kern w:val="2"/>
      <w:sz w:val="22"/>
      <w:szCs w:val="24"/>
      <w14:ligatures w14:val="standardContextual"/>
    </w:rPr>
    <w:tblPr>
      <w:tblBorders>
        <w:top w:val="single" w:color="BBCCFD" w:sz="4" w:space="0"/>
        <w:bottom w:val="single" w:color="4466F6" w:sz="4" w:space="0"/>
        <w:insideH w:val="single" w:color="BBCCFD" w:sz="4" w:space="0"/>
        <w:insideV w:val="single" w:color="BBCCFD" w:sz="4" w:space="0"/>
      </w:tblBorders>
    </w:tblPr>
    <w:tcPr>
      <w:shd w:val="clear" w:color="auto" w:fill="auto"/>
    </w:tcPr>
    <w:tblStylePr w:type="firstRow">
      <w:rPr>
        <w:b/>
        <w:color w:val="FFFFFF"/>
      </w:rPr>
      <w:tcPr>
        <w:tcBorders>
          <w:top w:val="single" w:color="4466F6" w:sz="4" w:space="0"/>
          <w:left w:val="nil"/>
          <w:bottom w:val="single" w:color="BBCCFD" w:sz="4" w:space="0"/>
          <w:right w:val="nil"/>
          <w:insideH w:val="nil"/>
          <w:insideV w:val="single" w:sz="4" w:space="0"/>
        </w:tcBorders>
        <w:shd w:val="clear" w:color="auto" w:fill="4466F6"/>
      </w:tcPr>
    </w:tblStylePr>
    <w:tblStylePr w:type="band1Vert">
      <w:tcPr>
        <w:tcBorders>
          <w:top w:val="single" w:color="BBCCFD" w:sz="4" w:space="0"/>
          <w:left w:val="nil"/>
          <w:bottom w:val="single" w:color="4466F6" w:sz="4" w:space="0"/>
          <w:right w:val="nil"/>
          <w:insideH w:val="nil"/>
          <w:insideV w:val="nil"/>
        </w:tcBorders>
        <w:shd w:val="clear" w:color="auto" w:fill="FFFFFF"/>
      </w:tcPr>
    </w:tblStylePr>
  </w:style>
  <w:style w:type="paragraph" w:styleId="37">
    <w:name w:val="List Paragraph"/>
    <w:basedOn w:val="1"/>
    <w:qFormat/>
    <w:uiPriority w:val="34"/>
    <w:pPr>
      <w:spacing w:after="160" w:line="278" w:lineRule="auto"/>
      <w:ind w:firstLine="420" w:firstLineChars="200"/>
      <w:jc w:val="left"/>
    </w:pPr>
    <w:rPr>
      <w:rFonts w:ascii="等线" w:hAnsi="等线" w:eastAsia="等线" w:cs="宋体"/>
      <w:sz w:val="22"/>
      <w14:ligatures w14:val="standardContextual"/>
    </w:rPr>
  </w:style>
  <w:style w:type="paragraph" w:customStyle="1" w:styleId="38">
    <w:name w:val="表格标题"/>
    <w:next w:val="1"/>
    <w:uiPriority w:val="0"/>
    <w:pPr>
      <w:keepNext w:val="0"/>
      <w:keepLines w:val="0"/>
      <w:pageBreakBefore w:val="0"/>
      <w:widowControl/>
      <w:kinsoku/>
      <w:wordWrap/>
      <w:overflowPunct/>
      <w:topLinePunct w:val="0"/>
      <w:autoSpaceDE/>
      <w:autoSpaceDN/>
      <w:bidi w:val="0"/>
      <w:adjustRightInd/>
      <w:spacing w:line="560" w:lineRule="exact"/>
      <w:ind w:firstLine="482" w:firstLineChars="200"/>
      <w:jc w:val="center"/>
      <w:textAlignment w:val="auto"/>
      <w:outlineLvl w:val="9"/>
    </w:pPr>
    <w:rPr>
      <w:rFonts w:ascii="楷体_GB2312" w:hAnsi="楷体_GB2312" w:eastAsia="楷体_GB2312" w:cs="楷体_GB2312"/>
      <w:b/>
      <w:bCs/>
      <w:color w:val="000000"/>
      <w:sz w:val="24"/>
      <w:szCs w:val="24"/>
      <w:lang w:bidi="ar-SA"/>
    </w:rPr>
  </w:style>
  <w:style w:type="character" w:customStyle="1" w:styleId="39">
    <w:name w:val="标题 6 Char"/>
    <w:link w:val="7"/>
    <w:uiPriority w:val="0"/>
    <w:rPr>
      <w:rFonts w:ascii="仿宋_GB2312" w:hAnsi="仿宋_GB2312" w:eastAsia="仿宋_GB2312" w:cs="仿宋_GB231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33c27a46-31e6-4d9f-8107-64b3f0602245</errorID>
      <errorWord>历史纪录</errorWord>
      <group>L1_Word</group>
      <groupName>字词问题</groupName>
      <ability>L2_Typo</ability>
      <abilityName>字词错误</abilityName>
      <candidateList>
        <item>历史记录</item>
      </candidateList>
      <explain>存在发音相同字词的误用。</explain>
      <paraID>3AA1F7F5</paraID>
      <start>36</start>
      <end>40</end>
      <status>modified</status>
      <modifiedWord>历史记录</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98A0D8-F60F-474D-B55C-1FD31687E42D}">
  <ds:schemaRefs/>
</ds:datastoreItem>
</file>

<file path=customXml/itemProps3.xml><?xml version="1.0" encoding="utf-8"?>
<ds:datastoreItem xmlns:ds="http://schemas.openxmlformats.org/officeDocument/2006/customXml" ds:itemID="{b9357c8e-9a75-46a9-b6d6-8e4287fa68f7}">
  <ds:schemaRefs/>
</ds:datastoreItem>
</file>

<file path=docProps/app.xml><?xml version="1.0" encoding="utf-8"?>
<Properties xmlns="http://schemas.openxmlformats.org/officeDocument/2006/extended-properties" xmlns:vt="http://schemas.openxmlformats.org/officeDocument/2006/docPropsVTypes">
  <Template>Normal</Template>
  <Pages>48</Pages>
  <Words>22556</Words>
  <Characters>23346</Characters>
  <Lines>161</Lines>
  <Paragraphs>45</Paragraphs>
  <TotalTime>967</TotalTime>
  <ScaleCrop>false</ScaleCrop>
  <LinksUpToDate>false</LinksUpToDate>
  <CharactersWithSpaces>23422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2026-03-02T13:57:00Z</dcterms:created>
  <dc:creator>付强</dc:creator>
  <cp:lastModifiedBy>姚颖</cp:lastModifiedBy>
  <dcterms:modified xsi:type="dcterms:W3CDTF">2026-03-14T03:27:36Z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918507A5C2AF4FCF8F2985EE3F9CBC04_13</vt:lpwstr>
  </property>
  <property fmtid="{D5CDD505-2E9C-101B-9397-08002B2CF9AE}" pid="4" name="KSOTemplateDocerSaveRecord">
    <vt:lpwstr>eyJoZGlkIjoiMzEwNTM5NzYwMDRjMzkwZTVkZjY2ODkwMGIxNGU0OTUiLCJ1c2VySWQiOiIxNjg4ODAwMDU0In0=</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1772156401</vt:lpwstr>
  </property>
</Properties>
</file>