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D36AD">
      <w:pPr>
        <w:spacing w:line="560" w:lineRule="exact"/>
        <w:jc w:val="center"/>
        <w:rPr>
          <w:rFonts w:hint="eastAsia" w:ascii="方正小标宋简体" w:eastAsia="方正小标宋简体"/>
          <w:sz w:val="36"/>
          <w:szCs w:val="36"/>
          <w:highlight w:val="none"/>
        </w:rPr>
      </w:pPr>
    </w:p>
    <w:p w14:paraId="03E2E5DC">
      <w:pPr>
        <w:spacing w:line="560" w:lineRule="exact"/>
        <w:jc w:val="center"/>
        <w:rPr>
          <w:rFonts w:hint="eastAsia" w:ascii="方正小标宋简体" w:eastAsia="方正小标宋简体"/>
          <w:sz w:val="36"/>
          <w:szCs w:val="36"/>
          <w:highlight w:val="none"/>
        </w:rPr>
      </w:pPr>
    </w:p>
    <w:p w14:paraId="23736335">
      <w:pPr>
        <w:spacing w:line="560" w:lineRule="exact"/>
        <w:jc w:val="center"/>
        <w:rPr>
          <w:rFonts w:hint="eastAsia" w:ascii="方正小标宋简体" w:eastAsia="方正小标宋简体"/>
          <w:sz w:val="36"/>
          <w:szCs w:val="36"/>
          <w:highlight w:val="none"/>
        </w:rPr>
      </w:pPr>
    </w:p>
    <w:p w14:paraId="740FBA30">
      <w:pPr>
        <w:spacing w:line="560" w:lineRule="exact"/>
        <w:jc w:val="both"/>
        <w:rPr>
          <w:rFonts w:hint="eastAsia" w:ascii="方正小标宋简体" w:eastAsia="方正小标宋简体"/>
          <w:sz w:val="36"/>
          <w:szCs w:val="36"/>
          <w:highlight w:val="none"/>
        </w:rPr>
      </w:pPr>
    </w:p>
    <w:p w14:paraId="13AA9299">
      <w:pPr>
        <w:spacing w:line="560" w:lineRule="exact"/>
        <w:jc w:val="center"/>
        <w:rPr>
          <w:rFonts w:hint="eastAsia" w:ascii="方正小标宋简体" w:eastAsia="方正小标宋简体"/>
          <w:sz w:val="44"/>
          <w:szCs w:val="44"/>
          <w:lang w:val="en-US" w:eastAsia="zh-CN"/>
        </w:rPr>
      </w:pPr>
      <w:bookmarkStart w:id="0" w:name="_Toc20773"/>
      <w:r>
        <w:rPr>
          <w:rFonts w:hint="eastAsia" w:ascii="方正小标宋简体" w:eastAsia="方正小标宋简体"/>
          <w:sz w:val="44"/>
          <w:szCs w:val="44"/>
          <w:lang w:val="en-US" w:eastAsia="zh-CN"/>
        </w:rPr>
        <w:t>关于调整优化集团公司智慧港口建设管理   体制机制</w:t>
      </w:r>
      <w:bookmarkEnd w:id="0"/>
      <w:bookmarkStart w:id="1" w:name="_Toc5162"/>
      <w:r>
        <w:rPr>
          <w:rFonts w:hint="eastAsia" w:ascii="方正小标宋简体" w:eastAsia="方正小标宋简体"/>
          <w:sz w:val="44"/>
          <w:szCs w:val="44"/>
          <w:lang w:val="en-US" w:eastAsia="zh-CN"/>
        </w:rPr>
        <w:t>的研究报告</w:t>
      </w:r>
      <w:bookmarkEnd w:id="1"/>
    </w:p>
    <w:p w14:paraId="5954DF70">
      <w:pPr>
        <w:spacing w:line="560" w:lineRule="exact"/>
        <w:rPr>
          <w:rFonts w:hint="default" w:ascii="仿宋_GB2312" w:eastAsia="仿宋_GB2312"/>
          <w:sz w:val="32"/>
          <w:szCs w:val="32"/>
          <w:highlight w:val="none"/>
          <w:lang w:val="en-US" w:eastAsia="zh-CN"/>
        </w:rPr>
      </w:pPr>
    </w:p>
    <w:p w14:paraId="0119637C">
      <w:pPr>
        <w:bidi w:val="0"/>
        <w:rPr>
          <w:rFonts w:hint="default" w:asciiTheme="minorHAnsi" w:hAnsiTheme="minorHAnsi" w:eastAsiaTheme="minorEastAsia" w:cstheme="minorBidi"/>
          <w:kern w:val="2"/>
          <w:sz w:val="21"/>
          <w:szCs w:val="22"/>
          <w:lang w:val="en-US" w:eastAsia="zh-CN" w:bidi="ar-SA"/>
        </w:rPr>
      </w:pPr>
    </w:p>
    <w:p w14:paraId="37397AC4">
      <w:pPr>
        <w:bidi w:val="0"/>
        <w:rPr>
          <w:rFonts w:hint="default"/>
          <w:lang w:val="en-US" w:eastAsia="zh-CN"/>
        </w:rPr>
      </w:pPr>
    </w:p>
    <w:p w14:paraId="7654739B">
      <w:pPr>
        <w:bidi w:val="0"/>
        <w:rPr>
          <w:rFonts w:hint="default"/>
          <w:lang w:val="en-US" w:eastAsia="zh-CN"/>
        </w:rPr>
      </w:pPr>
    </w:p>
    <w:p w14:paraId="6F5FB639">
      <w:pPr>
        <w:bidi w:val="0"/>
        <w:rPr>
          <w:rFonts w:hint="default"/>
          <w:lang w:val="en-US" w:eastAsia="zh-CN"/>
        </w:rPr>
      </w:pPr>
    </w:p>
    <w:p w14:paraId="2DF2C41A">
      <w:pPr>
        <w:bidi w:val="0"/>
        <w:rPr>
          <w:rFonts w:hint="default"/>
          <w:lang w:val="en-US" w:eastAsia="zh-CN"/>
        </w:rPr>
      </w:pPr>
    </w:p>
    <w:p w14:paraId="0959A9A9">
      <w:pPr>
        <w:bidi w:val="0"/>
        <w:rPr>
          <w:rFonts w:hint="default"/>
          <w:lang w:val="en-US" w:eastAsia="zh-CN"/>
        </w:rPr>
      </w:pPr>
    </w:p>
    <w:p w14:paraId="29FE65BB">
      <w:pPr>
        <w:bidi w:val="0"/>
        <w:rPr>
          <w:rFonts w:hint="default"/>
          <w:lang w:val="en-US" w:eastAsia="zh-CN"/>
        </w:rPr>
      </w:pPr>
    </w:p>
    <w:p w14:paraId="0111DCA9">
      <w:pPr>
        <w:bidi w:val="0"/>
        <w:rPr>
          <w:rFonts w:hint="default"/>
          <w:lang w:val="en-US" w:eastAsia="zh-CN"/>
        </w:rPr>
      </w:pPr>
    </w:p>
    <w:p w14:paraId="75691081">
      <w:pPr>
        <w:bidi w:val="0"/>
        <w:rPr>
          <w:rFonts w:hint="default"/>
          <w:lang w:val="en-US" w:eastAsia="zh-CN"/>
        </w:rPr>
      </w:pPr>
    </w:p>
    <w:p w14:paraId="206F6577">
      <w:pPr>
        <w:bidi w:val="0"/>
        <w:rPr>
          <w:rFonts w:hint="default"/>
          <w:lang w:val="en-US" w:eastAsia="zh-CN"/>
        </w:rPr>
      </w:pPr>
    </w:p>
    <w:p w14:paraId="6499E6E3">
      <w:pPr>
        <w:bidi w:val="0"/>
        <w:rPr>
          <w:rFonts w:hint="default"/>
          <w:lang w:val="en-US" w:eastAsia="zh-CN"/>
        </w:rPr>
      </w:pPr>
    </w:p>
    <w:p w14:paraId="024B2C22">
      <w:pPr>
        <w:bidi w:val="0"/>
        <w:rPr>
          <w:rFonts w:hint="default"/>
          <w:lang w:val="en-US" w:eastAsia="zh-CN"/>
        </w:rPr>
      </w:pPr>
    </w:p>
    <w:p w14:paraId="6EF789FD">
      <w:pPr>
        <w:bidi w:val="0"/>
        <w:rPr>
          <w:rFonts w:hint="default"/>
          <w:lang w:val="en-US" w:eastAsia="zh-CN"/>
        </w:rPr>
      </w:pPr>
    </w:p>
    <w:p w14:paraId="1D5B8AF6">
      <w:pPr>
        <w:bidi w:val="0"/>
        <w:rPr>
          <w:rFonts w:hint="default"/>
          <w:lang w:val="en-US" w:eastAsia="zh-CN"/>
        </w:rPr>
      </w:pPr>
    </w:p>
    <w:p w14:paraId="6F19B25B">
      <w:pPr>
        <w:bidi w:val="0"/>
        <w:rPr>
          <w:rFonts w:hint="default"/>
          <w:lang w:val="en-US" w:eastAsia="zh-CN"/>
        </w:rPr>
      </w:pPr>
    </w:p>
    <w:p w14:paraId="7FDE7512">
      <w:pPr>
        <w:bidi w:val="0"/>
        <w:rPr>
          <w:rFonts w:hint="default"/>
          <w:lang w:val="en-US" w:eastAsia="zh-CN"/>
        </w:rPr>
      </w:pPr>
    </w:p>
    <w:p w14:paraId="7A366B1F">
      <w:pPr>
        <w:bidi w:val="0"/>
        <w:rPr>
          <w:rFonts w:hint="default"/>
          <w:lang w:val="en-US" w:eastAsia="zh-CN"/>
        </w:rPr>
      </w:pPr>
    </w:p>
    <w:p w14:paraId="24D6DA58">
      <w:pPr>
        <w:bidi w:val="0"/>
        <w:rPr>
          <w:rFonts w:hint="default"/>
          <w:lang w:val="en-US" w:eastAsia="zh-CN"/>
        </w:rPr>
      </w:pPr>
    </w:p>
    <w:p w14:paraId="0E2972B1">
      <w:pPr>
        <w:bidi w:val="0"/>
        <w:rPr>
          <w:rFonts w:hint="default"/>
          <w:lang w:val="en-US" w:eastAsia="zh-CN"/>
        </w:rPr>
      </w:pPr>
    </w:p>
    <w:p w14:paraId="18E8D510">
      <w:pPr>
        <w:bidi w:val="0"/>
        <w:rPr>
          <w:rFonts w:hint="default"/>
          <w:lang w:val="en-US" w:eastAsia="zh-CN"/>
        </w:rPr>
      </w:pPr>
    </w:p>
    <w:p w14:paraId="25B8808A">
      <w:pPr>
        <w:spacing w:line="560" w:lineRule="exact"/>
        <w:jc w:val="center"/>
        <w:rPr>
          <w:rFonts w:hint="eastAsia" w:ascii="方正小标宋简体" w:eastAsia="方正小标宋简体"/>
          <w:sz w:val="32"/>
          <w:szCs w:val="32"/>
          <w:lang w:val="en-US" w:eastAsia="zh-CN"/>
        </w:rPr>
      </w:pPr>
      <w:r>
        <w:rPr>
          <w:rFonts w:hint="eastAsia" w:ascii="方正小标宋简体" w:eastAsia="方正小标宋简体"/>
          <w:sz w:val="32"/>
          <w:szCs w:val="32"/>
          <w:lang w:val="en-US" w:eastAsia="zh-CN"/>
        </w:rPr>
        <w:t>数字化转型办公室</w:t>
      </w:r>
    </w:p>
    <w:p w14:paraId="40CA62F2">
      <w:pPr>
        <w:spacing w:line="560" w:lineRule="exact"/>
        <w:jc w:val="center"/>
        <w:rPr>
          <w:rFonts w:hint="default" w:ascii="方正小标宋简体" w:eastAsia="方正小标宋简体"/>
          <w:sz w:val="32"/>
          <w:szCs w:val="32"/>
          <w:lang w:val="en-US" w:eastAsia="zh-CN"/>
        </w:rPr>
        <w:sectPr>
          <w:footerReference r:id="rId3" w:type="default"/>
          <w:pgSz w:w="11906" w:h="16838"/>
          <w:pgMar w:top="2098" w:right="1474" w:bottom="1985" w:left="1588" w:header="851" w:footer="992" w:gutter="0"/>
          <w:pgNumType w:fmt="numberInDash"/>
          <w:cols w:space="425" w:num="1"/>
          <w:docGrid w:type="lines" w:linePitch="312" w:charSpace="0"/>
        </w:sectPr>
      </w:pPr>
      <w:r>
        <w:rPr>
          <w:rFonts w:hint="eastAsia" w:ascii="方正小标宋简体" w:eastAsia="方正小标宋简体"/>
          <w:sz w:val="32"/>
          <w:szCs w:val="32"/>
          <w:lang w:val="en-US" w:eastAsia="zh-CN"/>
        </w:rPr>
        <w:t>2026年3月</w:t>
      </w:r>
    </w:p>
    <w:sdt>
      <w:sdtPr>
        <w:rPr>
          <w:rFonts w:ascii="宋体" w:hAnsi="宋体" w:eastAsia="宋体" w:cstheme="minorBidi"/>
          <w:kern w:val="2"/>
          <w:sz w:val="44"/>
          <w:szCs w:val="44"/>
          <w:lang w:val="en-US" w:eastAsia="zh-CN" w:bidi="ar-SA"/>
        </w:rPr>
        <w:id w:val="147478473"/>
        <w15:color w:val="DBDBDB"/>
        <w:docPartObj>
          <w:docPartGallery w:val="Table of Contents"/>
          <w:docPartUnique/>
        </w:docPartObj>
      </w:sdtPr>
      <w:sdtEndPr>
        <w:rPr>
          <w:rFonts w:hint="eastAsia" w:asciiTheme="minorHAnsi" w:hAnsiTheme="minorHAnsi" w:eastAsiaTheme="minorEastAsia" w:cstheme="minorBidi"/>
          <w:kern w:val="2"/>
          <w:sz w:val="21"/>
          <w:szCs w:val="22"/>
          <w:lang w:val="en-US" w:eastAsia="zh-CN" w:bidi="ar-SA"/>
        </w:rPr>
      </w:sdtEndPr>
      <w:sdtContent>
        <w:p w14:paraId="496E56F0">
          <w:pPr>
            <w:spacing w:before="0" w:beforeLines="0" w:after="0" w:afterLines="0" w:line="240" w:lineRule="auto"/>
            <w:ind w:left="0" w:leftChars="0" w:right="0" w:rightChars="0" w:firstLine="0" w:firstLineChars="0"/>
            <w:jc w:val="center"/>
          </w:pPr>
          <w:r>
            <w:rPr>
              <w:rFonts w:ascii="宋体" w:hAnsi="宋体" w:eastAsia="宋体"/>
              <w:sz w:val="44"/>
              <w:szCs w:val="44"/>
            </w:rPr>
            <w:t>目</w:t>
          </w:r>
          <w:r>
            <w:rPr>
              <w:rFonts w:hint="eastAsia" w:ascii="宋体" w:hAnsi="宋体" w:eastAsia="宋体"/>
              <w:sz w:val="44"/>
              <w:szCs w:val="44"/>
              <w:lang w:val="en-US" w:eastAsia="zh-CN"/>
            </w:rPr>
            <w:t xml:space="preserve"> </w:t>
          </w:r>
          <w:r>
            <w:rPr>
              <w:rFonts w:ascii="宋体" w:hAnsi="宋体" w:eastAsia="宋体"/>
              <w:sz w:val="44"/>
              <w:szCs w:val="44"/>
            </w:rPr>
            <w:t>录</w:t>
          </w:r>
        </w:p>
        <w:p w14:paraId="7ADFFACB">
          <w:pPr>
            <w:pStyle w:val="12"/>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TOC \o "1-3" \h \u </w:instrText>
          </w:r>
          <w:r>
            <w:rPr>
              <w:rFonts w:hint="eastAsia" w:asciiTheme="minorHAnsi" w:hAnsiTheme="minorHAnsi" w:eastAsiaTheme="minorEastAsia" w:cstheme="minorBidi"/>
              <w:kern w:val="2"/>
              <w:sz w:val="28"/>
              <w:szCs w:val="28"/>
              <w:lang w:val="en-US" w:eastAsia="zh-CN" w:bidi="ar-SA"/>
            </w:rPr>
            <w:fldChar w:fldCharType="separate"/>
          </w: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_Toc13053 </w:instrText>
          </w:r>
          <w:r>
            <w:rPr>
              <w:rFonts w:hint="eastAsia" w:asciiTheme="minorHAnsi" w:hAnsiTheme="minorHAnsi" w:eastAsiaTheme="minorEastAsia" w:cstheme="minorBidi"/>
              <w:kern w:val="2"/>
              <w:sz w:val="28"/>
              <w:szCs w:val="28"/>
              <w:lang w:val="en-US" w:eastAsia="zh-CN" w:bidi="ar-SA"/>
            </w:rPr>
            <w:fldChar w:fldCharType="separate"/>
          </w:r>
          <w:r>
            <w:rPr>
              <w:rFonts w:hint="eastAsia"/>
              <w:sz w:val="28"/>
              <w:szCs w:val="28"/>
              <w:lang w:val="en-US" w:eastAsia="zh-CN"/>
            </w:rPr>
            <w:t>一、 集团公司调整优化智慧港口建设管理体制机制的必要性</w:t>
          </w:r>
          <w:r>
            <w:rPr>
              <w:sz w:val="28"/>
              <w:szCs w:val="28"/>
            </w:rPr>
            <w:tab/>
          </w:r>
          <w:r>
            <w:rPr>
              <w:sz w:val="28"/>
              <w:szCs w:val="28"/>
            </w:rPr>
            <w:fldChar w:fldCharType="begin"/>
          </w:r>
          <w:r>
            <w:rPr>
              <w:sz w:val="28"/>
              <w:szCs w:val="28"/>
            </w:rPr>
            <w:instrText xml:space="preserve"> PAGEREF _Toc13053 \h </w:instrText>
          </w:r>
          <w:r>
            <w:rPr>
              <w:sz w:val="28"/>
              <w:szCs w:val="28"/>
            </w:rPr>
            <w:fldChar w:fldCharType="separate"/>
          </w:r>
          <w:r>
            <w:rPr>
              <w:sz w:val="28"/>
              <w:szCs w:val="28"/>
            </w:rPr>
            <w:t>- 1 -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457DCA61">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_Toc22148 </w:instrText>
          </w:r>
          <w:r>
            <w:rPr>
              <w:rFonts w:hint="eastAsia" w:asciiTheme="minorHAnsi" w:hAnsiTheme="minorHAnsi" w:eastAsiaTheme="minorEastAsia" w:cstheme="minorBidi"/>
              <w:kern w:val="2"/>
              <w:sz w:val="28"/>
              <w:szCs w:val="28"/>
              <w:lang w:val="en-US" w:eastAsia="zh-CN" w:bidi="ar-SA"/>
            </w:rPr>
            <w:fldChar w:fldCharType="separate"/>
          </w:r>
          <w:r>
            <w:rPr>
              <w:rFonts w:hint="eastAsia"/>
              <w:sz w:val="28"/>
              <w:szCs w:val="28"/>
              <w:lang w:val="en-US" w:eastAsia="zh-CN"/>
            </w:rPr>
            <w:t>（一）习近平总书记重要指示批示</w:t>
          </w:r>
          <w:r>
            <w:rPr>
              <w:sz w:val="28"/>
              <w:szCs w:val="28"/>
            </w:rPr>
            <w:tab/>
          </w:r>
          <w:r>
            <w:rPr>
              <w:sz w:val="28"/>
              <w:szCs w:val="28"/>
            </w:rPr>
            <w:fldChar w:fldCharType="begin"/>
          </w:r>
          <w:r>
            <w:rPr>
              <w:sz w:val="28"/>
              <w:szCs w:val="28"/>
            </w:rPr>
            <w:instrText xml:space="preserve"> PAGEREF _Toc22148 \h </w:instrText>
          </w:r>
          <w:r>
            <w:rPr>
              <w:sz w:val="28"/>
              <w:szCs w:val="28"/>
            </w:rPr>
            <w:fldChar w:fldCharType="separate"/>
          </w:r>
          <w:r>
            <w:rPr>
              <w:sz w:val="28"/>
              <w:szCs w:val="28"/>
            </w:rPr>
            <w:t>- 1 -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56945674">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_Toc30218 </w:instrText>
          </w:r>
          <w:r>
            <w:rPr>
              <w:rFonts w:hint="eastAsia" w:asciiTheme="minorHAnsi" w:hAnsiTheme="minorHAnsi" w:eastAsiaTheme="minorEastAsia" w:cstheme="minorBidi"/>
              <w:kern w:val="2"/>
              <w:sz w:val="28"/>
              <w:szCs w:val="28"/>
              <w:lang w:val="en-US" w:eastAsia="zh-CN" w:bidi="ar-SA"/>
            </w:rPr>
            <w:fldChar w:fldCharType="separate"/>
          </w:r>
          <w:r>
            <w:rPr>
              <w:rFonts w:hint="eastAsia"/>
              <w:sz w:val="28"/>
              <w:szCs w:val="28"/>
              <w:lang w:val="en-US" w:eastAsia="zh-CN"/>
            </w:rPr>
            <w:t>（二）国家战略与行业政策要求</w:t>
          </w:r>
          <w:r>
            <w:rPr>
              <w:sz w:val="28"/>
              <w:szCs w:val="28"/>
            </w:rPr>
            <w:tab/>
          </w:r>
          <w:r>
            <w:rPr>
              <w:sz w:val="28"/>
              <w:szCs w:val="28"/>
            </w:rPr>
            <w:fldChar w:fldCharType="begin"/>
          </w:r>
          <w:r>
            <w:rPr>
              <w:sz w:val="28"/>
              <w:szCs w:val="28"/>
            </w:rPr>
            <w:instrText xml:space="preserve"> PAGEREF _Toc30218 \h </w:instrText>
          </w:r>
          <w:r>
            <w:rPr>
              <w:sz w:val="28"/>
              <w:szCs w:val="28"/>
            </w:rPr>
            <w:fldChar w:fldCharType="separate"/>
          </w:r>
          <w:r>
            <w:rPr>
              <w:sz w:val="28"/>
              <w:szCs w:val="28"/>
            </w:rPr>
            <w:t>- 1 -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34A94293">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_Toc16213 </w:instrText>
          </w:r>
          <w:r>
            <w:rPr>
              <w:rFonts w:hint="eastAsia" w:asciiTheme="minorHAnsi" w:hAnsiTheme="minorHAnsi" w:eastAsiaTheme="minorEastAsia" w:cstheme="minorBidi"/>
              <w:kern w:val="2"/>
              <w:sz w:val="28"/>
              <w:szCs w:val="28"/>
              <w:lang w:val="en-US" w:eastAsia="zh-CN" w:bidi="ar-SA"/>
            </w:rPr>
            <w:fldChar w:fldCharType="separate"/>
          </w:r>
          <w:r>
            <w:rPr>
              <w:rFonts w:hint="eastAsia" w:ascii="楷体_GB2312" w:hAnsi="楷体_GB2312" w:eastAsia="楷体_GB2312" w:cs="楷体_GB2312"/>
              <w:bCs w:val="0"/>
              <w:kern w:val="2"/>
              <w:sz w:val="28"/>
              <w:szCs w:val="28"/>
              <w:lang w:val="en-US" w:eastAsia="zh-CN" w:bidi="ar-SA"/>
            </w:rPr>
            <w:t>（三）天津市委市政府要求</w:t>
          </w:r>
          <w:r>
            <w:rPr>
              <w:sz w:val="28"/>
              <w:szCs w:val="28"/>
            </w:rPr>
            <w:tab/>
          </w:r>
          <w:r>
            <w:rPr>
              <w:sz w:val="28"/>
              <w:szCs w:val="28"/>
            </w:rPr>
            <w:fldChar w:fldCharType="begin"/>
          </w:r>
          <w:r>
            <w:rPr>
              <w:sz w:val="28"/>
              <w:szCs w:val="28"/>
            </w:rPr>
            <w:instrText xml:space="preserve"> PAGEREF _Toc16213 \h </w:instrText>
          </w:r>
          <w:r>
            <w:rPr>
              <w:sz w:val="28"/>
              <w:szCs w:val="28"/>
            </w:rPr>
            <w:fldChar w:fldCharType="separate"/>
          </w:r>
          <w:r>
            <w:rPr>
              <w:sz w:val="28"/>
              <w:szCs w:val="28"/>
            </w:rPr>
            <w:t>- 2 -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006ABB19">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_Toc22861 </w:instrText>
          </w:r>
          <w:r>
            <w:rPr>
              <w:rFonts w:hint="eastAsia" w:asciiTheme="minorHAnsi" w:hAnsiTheme="minorHAnsi" w:eastAsiaTheme="minorEastAsia" w:cstheme="minorBidi"/>
              <w:kern w:val="2"/>
              <w:sz w:val="28"/>
              <w:szCs w:val="28"/>
              <w:lang w:val="en-US" w:eastAsia="zh-CN" w:bidi="ar-SA"/>
            </w:rPr>
            <w:fldChar w:fldCharType="separate"/>
          </w:r>
          <w:r>
            <w:rPr>
              <w:rFonts w:hint="eastAsia" w:ascii="楷体_GB2312" w:hAnsi="楷体_GB2312" w:eastAsia="楷体_GB2312" w:cs="楷体_GB2312"/>
              <w:bCs w:val="0"/>
              <w:kern w:val="2"/>
              <w:sz w:val="28"/>
              <w:szCs w:val="28"/>
              <w:lang w:val="en-US" w:eastAsia="zh-CN" w:bidi="ar-SA"/>
            </w:rPr>
            <w:t>（四）集团公司发展需要</w:t>
          </w:r>
          <w:r>
            <w:rPr>
              <w:sz w:val="28"/>
              <w:szCs w:val="28"/>
            </w:rPr>
            <w:tab/>
          </w:r>
          <w:r>
            <w:rPr>
              <w:sz w:val="28"/>
              <w:szCs w:val="28"/>
            </w:rPr>
            <w:fldChar w:fldCharType="begin"/>
          </w:r>
          <w:r>
            <w:rPr>
              <w:sz w:val="28"/>
              <w:szCs w:val="28"/>
            </w:rPr>
            <w:instrText xml:space="preserve"> PAGEREF _Toc22861 \h </w:instrText>
          </w:r>
          <w:r>
            <w:rPr>
              <w:sz w:val="28"/>
              <w:szCs w:val="28"/>
            </w:rPr>
            <w:fldChar w:fldCharType="separate"/>
          </w:r>
          <w:r>
            <w:rPr>
              <w:sz w:val="28"/>
              <w:szCs w:val="28"/>
            </w:rPr>
            <w:t>- 2 -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6A7EAA16">
          <w:pPr>
            <w:pStyle w:val="12"/>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_Toc8583 </w:instrText>
          </w:r>
          <w:r>
            <w:rPr>
              <w:rFonts w:hint="eastAsia" w:asciiTheme="minorHAnsi" w:hAnsiTheme="minorHAnsi" w:eastAsiaTheme="minorEastAsia" w:cstheme="minorBidi"/>
              <w:kern w:val="2"/>
              <w:sz w:val="28"/>
              <w:szCs w:val="28"/>
              <w:lang w:val="en-US" w:eastAsia="zh-CN" w:bidi="ar-SA"/>
            </w:rPr>
            <w:fldChar w:fldCharType="separate"/>
          </w:r>
          <w:r>
            <w:rPr>
              <w:rFonts w:hint="eastAsia"/>
              <w:sz w:val="28"/>
              <w:szCs w:val="28"/>
              <w:lang w:val="en-US" w:eastAsia="zh-CN"/>
            </w:rPr>
            <w:t>二、 集团公司智慧港口建设管理体制机制发展情况</w:t>
          </w:r>
          <w:r>
            <w:rPr>
              <w:sz w:val="28"/>
              <w:szCs w:val="28"/>
            </w:rPr>
            <w:tab/>
          </w:r>
          <w:r>
            <w:rPr>
              <w:sz w:val="28"/>
              <w:szCs w:val="28"/>
            </w:rPr>
            <w:fldChar w:fldCharType="begin"/>
          </w:r>
          <w:r>
            <w:rPr>
              <w:sz w:val="28"/>
              <w:szCs w:val="28"/>
            </w:rPr>
            <w:instrText xml:space="preserve"> PAGEREF _Toc8583 \h </w:instrText>
          </w:r>
          <w:r>
            <w:rPr>
              <w:sz w:val="28"/>
              <w:szCs w:val="28"/>
            </w:rPr>
            <w:fldChar w:fldCharType="separate"/>
          </w:r>
          <w:r>
            <w:rPr>
              <w:sz w:val="28"/>
              <w:szCs w:val="28"/>
            </w:rPr>
            <w:t>- 3 -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3935F683">
          <w:pPr>
            <w:pStyle w:val="12"/>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_Toc24420 </w:instrText>
          </w:r>
          <w:r>
            <w:rPr>
              <w:rFonts w:hint="eastAsia" w:asciiTheme="minorHAnsi" w:hAnsiTheme="minorHAnsi" w:eastAsiaTheme="minorEastAsia" w:cstheme="minorBidi"/>
              <w:kern w:val="2"/>
              <w:sz w:val="28"/>
              <w:szCs w:val="28"/>
              <w:lang w:val="en-US" w:eastAsia="zh-CN" w:bidi="ar-SA"/>
            </w:rPr>
            <w:fldChar w:fldCharType="separate"/>
          </w:r>
          <w:r>
            <w:rPr>
              <w:rFonts w:hint="eastAsia"/>
              <w:sz w:val="28"/>
              <w:szCs w:val="28"/>
              <w:lang w:val="en-US" w:eastAsia="zh-CN"/>
            </w:rPr>
            <w:t>三、 集团公司智慧港口建设取得的</w:t>
          </w:r>
          <w:r>
            <w:rPr>
              <w:rFonts w:hint="eastAsia" w:asciiTheme="minorHAnsi" w:hAnsiTheme="minorHAnsi" w:eastAsiaTheme="minorEastAsia" w:cstheme="minorBidi"/>
              <w:bCs/>
              <w:kern w:val="44"/>
              <w:sz w:val="28"/>
              <w:szCs w:val="28"/>
              <w:lang w:val="en-US" w:eastAsia="zh-CN" w:bidi="ar-SA"/>
            </w:rPr>
            <w:t>成果和面临形势</w:t>
          </w:r>
          <w:r>
            <w:rPr>
              <w:sz w:val="28"/>
              <w:szCs w:val="28"/>
            </w:rPr>
            <w:tab/>
          </w:r>
          <w:r>
            <w:rPr>
              <w:sz w:val="28"/>
              <w:szCs w:val="28"/>
            </w:rPr>
            <w:fldChar w:fldCharType="begin"/>
          </w:r>
          <w:r>
            <w:rPr>
              <w:sz w:val="28"/>
              <w:szCs w:val="28"/>
            </w:rPr>
            <w:instrText xml:space="preserve"> PAGEREF _Toc24420 \h </w:instrText>
          </w:r>
          <w:r>
            <w:rPr>
              <w:sz w:val="28"/>
              <w:szCs w:val="28"/>
            </w:rPr>
            <w:fldChar w:fldCharType="separate"/>
          </w:r>
          <w:r>
            <w:rPr>
              <w:sz w:val="28"/>
              <w:szCs w:val="28"/>
            </w:rPr>
            <w:t>- 8 -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5AED8678">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_Toc5979 </w:instrText>
          </w:r>
          <w:r>
            <w:rPr>
              <w:rFonts w:hint="eastAsia" w:asciiTheme="minorHAnsi" w:hAnsiTheme="minorHAnsi" w:eastAsiaTheme="minorEastAsia" w:cstheme="minorBidi"/>
              <w:kern w:val="2"/>
              <w:sz w:val="28"/>
              <w:szCs w:val="28"/>
              <w:lang w:val="en-US" w:eastAsia="zh-CN" w:bidi="ar-SA"/>
            </w:rPr>
            <w:fldChar w:fldCharType="separate"/>
          </w:r>
          <w:r>
            <w:rPr>
              <w:rFonts w:hint="eastAsia"/>
              <w:bCs w:val="0"/>
              <w:sz w:val="28"/>
              <w:szCs w:val="28"/>
              <w:lang w:val="en-US" w:eastAsia="zh-CN"/>
            </w:rPr>
            <w:t>（一）取得的成果</w:t>
          </w:r>
          <w:r>
            <w:rPr>
              <w:sz w:val="28"/>
              <w:szCs w:val="28"/>
            </w:rPr>
            <w:tab/>
          </w:r>
          <w:r>
            <w:rPr>
              <w:sz w:val="28"/>
              <w:szCs w:val="28"/>
            </w:rPr>
            <w:fldChar w:fldCharType="begin"/>
          </w:r>
          <w:r>
            <w:rPr>
              <w:sz w:val="28"/>
              <w:szCs w:val="28"/>
            </w:rPr>
            <w:instrText xml:space="preserve"> PAGEREF _Toc5979 \h </w:instrText>
          </w:r>
          <w:r>
            <w:rPr>
              <w:sz w:val="28"/>
              <w:szCs w:val="28"/>
            </w:rPr>
            <w:fldChar w:fldCharType="separate"/>
          </w:r>
          <w:r>
            <w:rPr>
              <w:sz w:val="28"/>
              <w:szCs w:val="28"/>
            </w:rPr>
            <w:t>- 8 -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03627E90">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_Toc15167 </w:instrText>
          </w:r>
          <w:r>
            <w:rPr>
              <w:rFonts w:hint="eastAsia" w:asciiTheme="minorHAnsi" w:hAnsiTheme="minorHAnsi" w:eastAsiaTheme="minorEastAsia" w:cstheme="minorBidi"/>
              <w:kern w:val="2"/>
              <w:sz w:val="28"/>
              <w:szCs w:val="28"/>
              <w:lang w:val="en-US" w:eastAsia="zh-CN" w:bidi="ar-SA"/>
            </w:rPr>
            <w:fldChar w:fldCharType="separate"/>
          </w:r>
          <w:r>
            <w:rPr>
              <w:rFonts w:hint="eastAsia"/>
              <w:bCs w:val="0"/>
              <w:sz w:val="28"/>
              <w:szCs w:val="28"/>
              <w:lang w:val="en-US" w:eastAsia="zh-CN"/>
            </w:rPr>
            <w:t>（二）面临的形势</w:t>
          </w:r>
          <w:r>
            <w:rPr>
              <w:sz w:val="28"/>
              <w:szCs w:val="28"/>
            </w:rPr>
            <w:tab/>
          </w:r>
          <w:r>
            <w:rPr>
              <w:sz w:val="28"/>
              <w:szCs w:val="28"/>
            </w:rPr>
            <w:fldChar w:fldCharType="begin"/>
          </w:r>
          <w:r>
            <w:rPr>
              <w:sz w:val="28"/>
              <w:szCs w:val="28"/>
            </w:rPr>
            <w:instrText xml:space="preserve"> PAGEREF _Toc15167 \h </w:instrText>
          </w:r>
          <w:r>
            <w:rPr>
              <w:sz w:val="28"/>
              <w:szCs w:val="28"/>
            </w:rPr>
            <w:fldChar w:fldCharType="separate"/>
          </w:r>
          <w:r>
            <w:rPr>
              <w:sz w:val="28"/>
              <w:szCs w:val="28"/>
            </w:rPr>
            <w:t>- 8 -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08856708">
          <w:pPr>
            <w:pStyle w:val="12"/>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_Toc19179 </w:instrText>
          </w:r>
          <w:r>
            <w:rPr>
              <w:rFonts w:hint="eastAsia" w:asciiTheme="minorHAnsi" w:hAnsiTheme="minorHAnsi" w:eastAsiaTheme="minorEastAsia" w:cstheme="minorBidi"/>
              <w:kern w:val="2"/>
              <w:sz w:val="28"/>
              <w:szCs w:val="28"/>
              <w:lang w:val="en-US" w:eastAsia="zh-CN" w:bidi="ar-SA"/>
            </w:rPr>
            <w:fldChar w:fldCharType="separate"/>
          </w:r>
          <w:r>
            <w:rPr>
              <w:rFonts w:hint="eastAsia"/>
              <w:sz w:val="28"/>
              <w:szCs w:val="28"/>
              <w:lang w:val="en-US" w:eastAsia="zh-CN"/>
            </w:rPr>
            <w:t>四、集团公司智慧港口建设管理体制存在的主要问题及对标情况</w:t>
          </w:r>
          <w:r>
            <w:rPr>
              <w:sz w:val="28"/>
              <w:szCs w:val="28"/>
            </w:rPr>
            <w:tab/>
          </w:r>
          <w:r>
            <w:rPr>
              <w:sz w:val="28"/>
              <w:szCs w:val="28"/>
            </w:rPr>
            <w:fldChar w:fldCharType="begin"/>
          </w:r>
          <w:r>
            <w:rPr>
              <w:sz w:val="28"/>
              <w:szCs w:val="28"/>
            </w:rPr>
            <w:instrText xml:space="preserve"> PAGEREF _Toc19179 \h </w:instrText>
          </w:r>
          <w:r>
            <w:rPr>
              <w:sz w:val="28"/>
              <w:szCs w:val="28"/>
            </w:rPr>
            <w:fldChar w:fldCharType="separate"/>
          </w:r>
          <w:r>
            <w:rPr>
              <w:sz w:val="28"/>
              <w:szCs w:val="28"/>
            </w:rPr>
            <w:t>- 11 -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21922A80">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_Toc19919 </w:instrText>
          </w:r>
          <w:r>
            <w:rPr>
              <w:rFonts w:hint="eastAsia" w:asciiTheme="minorHAnsi" w:hAnsiTheme="minorHAnsi" w:eastAsiaTheme="minorEastAsia" w:cstheme="minorBidi"/>
              <w:kern w:val="2"/>
              <w:sz w:val="28"/>
              <w:szCs w:val="28"/>
              <w:lang w:val="en-US" w:eastAsia="zh-CN" w:bidi="ar-SA"/>
            </w:rPr>
            <w:fldChar w:fldCharType="separate"/>
          </w:r>
          <w:r>
            <w:rPr>
              <w:rFonts w:hint="eastAsia"/>
              <w:bCs w:val="0"/>
              <w:sz w:val="28"/>
              <w:szCs w:val="28"/>
              <w:lang w:val="en-US" w:eastAsia="zh-CN"/>
            </w:rPr>
            <w:t>（一）数字化管理体制未形成上下联动机制</w:t>
          </w:r>
          <w:r>
            <w:rPr>
              <w:sz w:val="28"/>
              <w:szCs w:val="28"/>
            </w:rPr>
            <w:tab/>
          </w:r>
          <w:r>
            <w:rPr>
              <w:sz w:val="28"/>
              <w:szCs w:val="28"/>
            </w:rPr>
            <w:fldChar w:fldCharType="begin"/>
          </w:r>
          <w:r>
            <w:rPr>
              <w:sz w:val="28"/>
              <w:szCs w:val="28"/>
            </w:rPr>
            <w:instrText xml:space="preserve"> PAGEREF _Toc19919 \h </w:instrText>
          </w:r>
          <w:r>
            <w:rPr>
              <w:sz w:val="28"/>
              <w:szCs w:val="28"/>
            </w:rPr>
            <w:fldChar w:fldCharType="separate"/>
          </w:r>
          <w:r>
            <w:rPr>
              <w:sz w:val="28"/>
              <w:szCs w:val="28"/>
            </w:rPr>
            <w:t>- 11 -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51BFE845">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_Toc925 </w:instrText>
          </w:r>
          <w:r>
            <w:rPr>
              <w:rFonts w:hint="eastAsia" w:asciiTheme="minorHAnsi" w:hAnsiTheme="minorHAnsi" w:eastAsiaTheme="minorEastAsia" w:cstheme="minorBidi"/>
              <w:kern w:val="2"/>
              <w:sz w:val="28"/>
              <w:szCs w:val="28"/>
              <w:lang w:val="en-US" w:eastAsia="zh-CN" w:bidi="ar-SA"/>
            </w:rPr>
            <w:fldChar w:fldCharType="separate"/>
          </w:r>
          <w:r>
            <w:rPr>
              <w:rFonts w:hint="eastAsia"/>
              <w:bCs w:val="0"/>
              <w:sz w:val="28"/>
              <w:szCs w:val="28"/>
              <w:lang w:val="en-US" w:eastAsia="zh-CN"/>
            </w:rPr>
            <w:t>（二）智慧港口考核机制有待进一步完善</w:t>
          </w:r>
          <w:r>
            <w:rPr>
              <w:sz w:val="28"/>
              <w:szCs w:val="28"/>
            </w:rPr>
            <w:tab/>
          </w:r>
          <w:r>
            <w:rPr>
              <w:sz w:val="28"/>
              <w:szCs w:val="28"/>
            </w:rPr>
            <w:fldChar w:fldCharType="begin"/>
          </w:r>
          <w:r>
            <w:rPr>
              <w:sz w:val="28"/>
              <w:szCs w:val="28"/>
            </w:rPr>
            <w:instrText xml:space="preserve"> PAGEREF _Toc925 \h </w:instrText>
          </w:r>
          <w:r>
            <w:rPr>
              <w:sz w:val="28"/>
              <w:szCs w:val="28"/>
            </w:rPr>
            <w:fldChar w:fldCharType="separate"/>
          </w:r>
          <w:r>
            <w:rPr>
              <w:sz w:val="28"/>
              <w:szCs w:val="28"/>
            </w:rPr>
            <w:t>- 14 -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3C6A3C29">
          <w:pPr>
            <w:pStyle w:val="13"/>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_Toc27187 </w:instrText>
          </w:r>
          <w:r>
            <w:rPr>
              <w:rFonts w:hint="eastAsia" w:asciiTheme="minorHAnsi" w:hAnsiTheme="minorHAnsi" w:eastAsiaTheme="minorEastAsia" w:cstheme="minorBidi"/>
              <w:kern w:val="2"/>
              <w:sz w:val="28"/>
              <w:szCs w:val="28"/>
              <w:lang w:val="en-US" w:eastAsia="zh-CN" w:bidi="ar-SA"/>
            </w:rPr>
            <w:fldChar w:fldCharType="separate"/>
          </w:r>
          <w:r>
            <w:rPr>
              <w:rFonts w:hint="eastAsia"/>
              <w:bCs w:val="0"/>
              <w:sz w:val="28"/>
              <w:szCs w:val="28"/>
              <w:lang w:val="en-US" w:eastAsia="zh-CN"/>
            </w:rPr>
            <w:t>（三）业务和信息化融合存在短板</w:t>
          </w:r>
          <w:r>
            <w:rPr>
              <w:sz w:val="28"/>
              <w:szCs w:val="28"/>
            </w:rPr>
            <w:tab/>
          </w:r>
          <w:r>
            <w:rPr>
              <w:sz w:val="28"/>
              <w:szCs w:val="28"/>
            </w:rPr>
            <w:fldChar w:fldCharType="begin"/>
          </w:r>
          <w:r>
            <w:rPr>
              <w:sz w:val="28"/>
              <w:szCs w:val="28"/>
            </w:rPr>
            <w:instrText xml:space="preserve"> PAGEREF _Toc27187 \h </w:instrText>
          </w:r>
          <w:r>
            <w:rPr>
              <w:sz w:val="28"/>
              <w:szCs w:val="28"/>
            </w:rPr>
            <w:fldChar w:fldCharType="separate"/>
          </w:r>
          <w:r>
            <w:rPr>
              <w:sz w:val="28"/>
              <w:szCs w:val="28"/>
            </w:rPr>
            <w:t>- 16 -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67C5E622">
          <w:pPr>
            <w:pStyle w:val="12"/>
            <w:tabs>
              <w:tab w:val="right" w:leader="dot" w:pos="8844"/>
            </w:tabs>
            <w:rPr>
              <w:sz w:val="28"/>
              <w:szCs w:val="28"/>
            </w:rPr>
          </w:pPr>
          <w:r>
            <w:rPr>
              <w:rFonts w:hint="eastAsia" w:asciiTheme="minorHAnsi" w:hAnsiTheme="minorHAnsi" w:eastAsiaTheme="minorEastAsia" w:cstheme="minorBidi"/>
              <w:kern w:val="2"/>
              <w:sz w:val="28"/>
              <w:szCs w:val="28"/>
              <w:lang w:val="en-US" w:eastAsia="zh-CN" w:bidi="ar-SA"/>
            </w:rPr>
            <w:fldChar w:fldCharType="begin"/>
          </w:r>
          <w:r>
            <w:rPr>
              <w:rFonts w:hint="eastAsia" w:asciiTheme="minorHAnsi" w:hAnsiTheme="minorHAnsi" w:eastAsiaTheme="minorEastAsia" w:cstheme="minorBidi"/>
              <w:kern w:val="2"/>
              <w:sz w:val="28"/>
              <w:szCs w:val="28"/>
              <w:lang w:val="en-US" w:eastAsia="zh-CN" w:bidi="ar-SA"/>
            </w:rPr>
            <w:instrText xml:space="preserve"> HYPERLINK \l _Toc5150 </w:instrText>
          </w:r>
          <w:r>
            <w:rPr>
              <w:rFonts w:hint="eastAsia" w:asciiTheme="minorHAnsi" w:hAnsiTheme="minorHAnsi" w:eastAsiaTheme="minorEastAsia" w:cstheme="minorBidi"/>
              <w:kern w:val="2"/>
              <w:sz w:val="28"/>
              <w:szCs w:val="28"/>
              <w:lang w:val="en-US" w:eastAsia="zh-CN" w:bidi="ar-SA"/>
            </w:rPr>
            <w:fldChar w:fldCharType="separate"/>
          </w:r>
          <w:r>
            <w:rPr>
              <w:rFonts w:hint="eastAsia"/>
              <w:sz w:val="28"/>
              <w:szCs w:val="28"/>
              <w:lang w:val="en-US" w:eastAsia="zh-CN"/>
            </w:rPr>
            <w:t>五、集团公司智慧港口建设管理体制机制改进方向及工作建议</w:t>
          </w:r>
          <w:r>
            <w:rPr>
              <w:sz w:val="28"/>
              <w:szCs w:val="28"/>
            </w:rPr>
            <w:tab/>
          </w:r>
          <w:r>
            <w:rPr>
              <w:sz w:val="28"/>
              <w:szCs w:val="28"/>
            </w:rPr>
            <w:fldChar w:fldCharType="begin"/>
          </w:r>
          <w:r>
            <w:rPr>
              <w:sz w:val="28"/>
              <w:szCs w:val="28"/>
            </w:rPr>
            <w:instrText xml:space="preserve"> PAGEREF _Toc5150 \h </w:instrText>
          </w:r>
          <w:r>
            <w:rPr>
              <w:sz w:val="28"/>
              <w:szCs w:val="28"/>
            </w:rPr>
            <w:fldChar w:fldCharType="separate"/>
          </w:r>
          <w:r>
            <w:rPr>
              <w:sz w:val="28"/>
              <w:szCs w:val="28"/>
            </w:rPr>
            <w:t>- 17 -</w:t>
          </w:r>
          <w:r>
            <w:rPr>
              <w:sz w:val="28"/>
              <w:szCs w:val="28"/>
            </w:rPr>
            <w:fldChar w:fldCharType="end"/>
          </w:r>
          <w:r>
            <w:rPr>
              <w:rFonts w:hint="eastAsia" w:asciiTheme="minorHAnsi" w:hAnsiTheme="minorHAnsi" w:eastAsiaTheme="minorEastAsia" w:cstheme="minorBidi"/>
              <w:kern w:val="2"/>
              <w:sz w:val="28"/>
              <w:szCs w:val="28"/>
              <w:lang w:val="en-US" w:eastAsia="zh-CN" w:bidi="ar-SA"/>
            </w:rPr>
            <w:fldChar w:fldCharType="end"/>
          </w:r>
        </w:p>
        <w:p w14:paraId="79FE511A">
          <w:pPr>
            <w:bidi w:val="0"/>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8"/>
              <w:szCs w:val="28"/>
              <w:lang w:val="en-US" w:eastAsia="zh-CN" w:bidi="ar-SA"/>
            </w:rPr>
            <w:fldChar w:fldCharType="end"/>
          </w:r>
        </w:p>
      </w:sdtContent>
    </w:sdt>
    <w:p w14:paraId="534F3588">
      <w:pPr>
        <w:bidi w:val="0"/>
        <w:rPr>
          <w:rFonts w:hint="eastAsia" w:asciiTheme="minorHAnsi" w:hAnsiTheme="minorHAnsi" w:eastAsiaTheme="minorEastAsia" w:cstheme="minorBidi"/>
          <w:kern w:val="2"/>
          <w:sz w:val="21"/>
          <w:szCs w:val="22"/>
          <w:lang w:val="en-US" w:eastAsia="zh-CN" w:bidi="ar-SA"/>
        </w:rPr>
        <w:sectPr>
          <w:footerReference r:id="rId4" w:type="default"/>
          <w:pgSz w:w="11906" w:h="16838"/>
          <w:pgMar w:top="2098" w:right="1474" w:bottom="1985" w:left="1588" w:header="851" w:footer="992" w:gutter="0"/>
          <w:pgNumType w:fmt="numberInDash" w:start="1"/>
          <w:cols w:space="425" w:num="1"/>
          <w:docGrid w:type="lines" w:linePitch="312" w:charSpace="0"/>
        </w:sectPr>
      </w:pPr>
    </w:p>
    <w:p w14:paraId="01322053">
      <w:pPr>
        <w:bidi w:val="0"/>
        <w:rPr>
          <w:rFonts w:hint="eastAsia" w:asciiTheme="minorHAnsi" w:hAnsiTheme="minorHAnsi" w:eastAsiaTheme="minorEastAsia" w:cstheme="minorBidi"/>
          <w:kern w:val="2"/>
          <w:sz w:val="21"/>
          <w:szCs w:val="22"/>
          <w:lang w:val="en-US" w:eastAsia="zh-CN" w:bidi="ar-SA"/>
        </w:rPr>
      </w:pPr>
    </w:p>
    <w:p w14:paraId="75ADD084">
      <w:pPr>
        <w:bidi w:val="0"/>
        <w:jc w:val="left"/>
        <w:rPr>
          <w:rFonts w:hint="eastAsia"/>
          <w:lang w:val="en-US" w:eastAsia="zh-CN"/>
        </w:rPr>
      </w:pPr>
    </w:p>
    <w:p w14:paraId="0B3C72F2">
      <w:pPr>
        <w:pStyle w:val="2"/>
        <w:keepNext/>
        <w:keepLines/>
        <w:pageBreakBefore w:val="0"/>
        <w:widowControl w:val="0"/>
        <w:numPr>
          <w:ilvl w:val="0"/>
          <w:numId w:val="1"/>
        </w:numPr>
        <w:kinsoku/>
        <w:wordWrap/>
        <w:overflowPunct/>
        <w:topLinePunct w:val="0"/>
        <w:autoSpaceDE/>
        <w:autoSpaceDN/>
        <w:bidi w:val="0"/>
        <w:adjustRightInd/>
        <w:snapToGrid/>
        <w:spacing w:before="0" w:after="0" w:line="560" w:lineRule="exact"/>
        <w:ind w:left="0" w:leftChars="0" w:firstLine="420" w:firstLineChars="0"/>
        <w:textAlignment w:val="auto"/>
        <w:rPr>
          <w:rFonts w:hint="eastAsia"/>
          <w:sz w:val="32"/>
          <w:szCs w:val="32"/>
          <w:lang w:val="en-US" w:eastAsia="zh-CN"/>
        </w:rPr>
      </w:pPr>
      <w:bookmarkStart w:id="2" w:name="_Toc13053"/>
      <w:r>
        <w:rPr>
          <w:rFonts w:hint="eastAsia"/>
          <w:sz w:val="32"/>
          <w:szCs w:val="32"/>
          <w:lang w:val="en-US" w:eastAsia="zh-CN"/>
        </w:rPr>
        <w:t>集团公司调整优化智慧港口建设管理体制机制的必要性</w:t>
      </w:r>
      <w:bookmarkEnd w:id="2"/>
    </w:p>
    <w:p w14:paraId="10967EC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集团公司开展智慧港口建设，是国家战略、地方部署、行业趋势与自身发展共同驱动的系统性工程，是落实习近平总书记重要指示，打造世界一流智慧、绿色、枢纽港口的重要抓手。</w:t>
      </w:r>
    </w:p>
    <w:p w14:paraId="02A17FCF">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eastAsia"/>
          <w:lang w:val="en-US" w:eastAsia="zh-CN"/>
        </w:rPr>
      </w:pPr>
      <w:bookmarkStart w:id="3" w:name="_Toc22148"/>
      <w:r>
        <w:rPr>
          <w:rFonts w:hint="eastAsia"/>
          <w:lang w:val="en-US" w:eastAsia="zh-CN"/>
        </w:rPr>
        <w:t>（一）习近平总书记重要指示批示</w:t>
      </w:r>
      <w:bookmarkEnd w:id="3"/>
    </w:p>
    <w:p w14:paraId="55171AC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习近平总书记重要指示批示是天津港智慧港口建设的根本遵循与核心动力。</w:t>
      </w:r>
    </w:p>
    <w:p w14:paraId="1A64157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2019年1月总书记视察天津港，明确作出“努力打造世界一流的智慧港口、绿色港口”的重要指示，为天津港发展指明方向。</w:t>
      </w:r>
    </w:p>
    <w:p w14:paraId="5898747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2024年2月总书记再次视察天津，强调要深度融入共建 “一带一路”，充分发挥天津港优势，打造我国北方地区联通国内国际双循环的重要战略支点，赋予天津港新定位、新使命。</w:t>
      </w:r>
    </w:p>
    <w:p w14:paraId="00FABD0C">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eastAsia"/>
          <w:lang w:val="en-US" w:eastAsia="zh-CN"/>
        </w:rPr>
      </w:pPr>
      <w:bookmarkStart w:id="4" w:name="_Toc30218"/>
      <w:r>
        <w:rPr>
          <w:rFonts w:hint="eastAsia"/>
          <w:lang w:val="en-US" w:eastAsia="zh-CN"/>
        </w:rPr>
        <w:t>（二）国家战略与行业政策要求</w:t>
      </w:r>
      <w:bookmarkEnd w:id="4"/>
    </w:p>
    <w:p w14:paraId="5F5CBAF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1.国家顶层规划</w:t>
      </w:r>
    </w:p>
    <w:p w14:paraId="0AC6BA9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《国家综合立体交通网规划纲要》明确要求发挥天津港国际枢纽海港作用，加快建设辐射全球的航运枢纽。</w:t>
      </w:r>
    </w:p>
    <w:p w14:paraId="3EDB673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国家发改委、交通运输部等九部门《关于建设世界一流港口的指导意见》将智慧港口作为核心任务，要求加大自动化码头操作系统研发与推广。</w:t>
      </w:r>
    </w:p>
    <w:p w14:paraId="39BBBC0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《关于加快天津北方国际航运枢纽建设的意见》专门部署天津港智能化改造、信息平台建设、数据互联共享三大任务。</w:t>
      </w:r>
    </w:p>
    <w:p w14:paraId="6E6028A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2.交通运输部专项政策</w:t>
      </w:r>
    </w:p>
    <w:p w14:paraId="3FE3C20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《关于开展智慧港口示范工程的通知》《交通运输领域新型基础设施建设行动方案》《加快智慧港口和智慧航道建设的意见》等，为港口5G、物联网、自动化、数字孪生等技术应用提供行业指引。</w:t>
      </w:r>
    </w:p>
    <w:p w14:paraId="33E4F7E5">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default" w:ascii="楷体_GB2312" w:hAnsi="楷体_GB2312" w:eastAsia="楷体_GB2312" w:cs="楷体_GB2312"/>
          <w:b w:val="0"/>
          <w:bCs w:val="0"/>
          <w:kern w:val="2"/>
          <w:sz w:val="32"/>
          <w:szCs w:val="32"/>
          <w:lang w:val="en-US" w:eastAsia="zh-CN" w:bidi="ar-SA"/>
        </w:rPr>
      </w:pPr>
      <w:bookmarkStart w:id="5" w:name="_Toc16213"/>
      <w:r>
        <w:rPr>
          <w:rFonts w:hint="eastAsia" w:ascii="楷体_GB2312" w:hAnsi="楷体_GB2312" w:eastAsia="楷体_GB2312" w:cs="楷体_GB2312"/>
          <w:b w:val="0"/>
          <w:bCs w:val="0"/>
          <w:kern w:val="2"/>
          <w:sz w:val="32"/>
          <w:szCs w:val="32"/>
          <w:lang w:val="en-US" w:eastAsia="zh-CN" w:bidi="ar-SA"/>
        </w:rPr>
        <w:t>（三）天津市委市政府要求</w:t>
      </w:r>
      <w:bookmarkEnd w:id="5"/>
    </w:p>
    <w:p w14:paraId="07A0241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将打造世界一流智慧绿色枢纽港口升级版纳入天津市“港产城融合发展行动方案”。《天津市 “十五五”（2026-2030）规划》将港口智慧化向航运服务智慧化延伸，覆盖航线组织、集疏运、通关全链条。</w:t>
      </w:r>
    </w:p>
    <w:p w14:paraId="55ED4EF6">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default" w:ascii="楷体_GB2312" w:hAnsi="楷体_GB2312" w:eastAsia="楷体_GB2312" w:cs="楷体_GB2312"/>
          <w:b w:val="0"/>
          <w:bCs w:val="0"/>
          <w:kern w:val="2"/>
          <w:sz w:val="32"/>
          <w:szCs w:val="32"/>
          <w:lang w:val="en-US" w:eastAsia="zh-CN" w:bidi="ar-SA"/>
        </w:rPr>
      </w:pPr>
      <w:bookmarkStart w:id="6" w:name="_Toc22861"/>
      <w:r>
        <w:rPr>
          <w:rFonts w:hint="eastAsia" w:ascii="楷体_GB2312" w:hAnsi="楷体_GB2312" w:eastAsia="楷体_GB2312" w:cs="楷体_GB2312"/>
          <w:b w:val="0"/>
          <w:bCs w:val="0"/>
          <w:kern w:val="2"/>
          <w:sz w:val="32"/>
          <w:szCs w:val="32"/>
          <w:lang w:val="en-US" w:eastAsia="zh-CN" w:bidi="ar-SA"/>
        </w:rPr>
        <w:t>（四）集团公司发展需要</w:t>
      </w:r>
      <w:bookmarkEnd w:id="6"/>
    </w:p>
    <w:p w14:paraId="50F2F29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1.港口转型升级内在需求</w:t>
      </w:r>
    </w:p>
    <w:p w14:paraId="4B83884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破解传统港口效率瓶颈、成本高企、服务单一等问题，通过智慧化提升作业效率、准班率、直靠率，降低能耗与运营成本。</w:t>
      </w:r>
    </w:p>
    <w:p w14:paraId="76D89E2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2.技术与产业发展趋势要求</w:t>
      </w:r>
    </w:p>
    <w:p w14:paraId="3CF51FC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5G、北斗、AI、数字孪生、区块链等技术成熟，为港口全要素互联、智能调度、无人作业提供技术可行性。</w:t>
      </w:r>
    </w:p>
    <w:p w14:paraId="2A7594F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i w:val="0"/>
          <w:iCs w:val="0"/>
          <w:caps w:val="0"/>
          <w:spacing w:val="0"/>
          <w:sz w:val="32"/>
          <w:szCs w:val="32"/>
          <w:shd w:val="clear" w:fill="FFFFFF"/>
          <w:lang w:val="en-US" w:eastAsia="zh-CN"/>
        </w:rPr>
      </w:pPr>
      <w:r>
        <w:rPr>
          <w:rFonts w:hint="eastAsia" w:ascii="仿宋_GB2312" w:hAnsi="黑体" w:eastAsia="仿宋_GB2312" w:cstheme="minorBidi"/>
          <w:b w:val="0"/>
          <w:bCs w:val="0"/>
          <w:kern w:val="2"/>
          <w:sz w:val="32"/>
          <w:szCs w:val="32"/>
          <w:lang w:val="en-US" w:eastAsia="zh-CN" w:bidi="ar-SA"/>
        </w:rPr>
        <w:t>综上，天津港智慧港口建设是自上而下的战略要求、自下而上的发展诉求共同作用的结果，是服务国家战略、推动港产城融合、实现高质量发展的必然选择。因此我们必须不断审视智慧港口建设过程中的问题和挑战，不断优化调整智慧港口建设体制机制，以适应新技术的快速发展，不断形成和强化集团公司核心竞争力。</w:t>
      </w:r>
    </w:p>
    <w:p w14:paraId="31E27CD8">
      <w:pPr>
        <w:pStyle w:val="2"/>
        <w:keepNext/>
        <w:keepLines/>
        <w:pageBreakBefore w:val="0"/>
        <w:widowControl w:val="0"/>
        <w:numPr>
          <w:ilvl w:val="0"/>
          <w:numId w:val="1"/>
        </w:numPr>
        <w:kinsoku/>
        <w:wordWrap/>
        <w:overflowPunct/>
        <w:topLinePunct w:val="0"/>
        <w:autoSpaceDE/>
        <w:autoSpaceDN/>
        <w:bidi w:val="0"/>
        <w:adjustRightInd/>
        <w:snapToGrid/>
        <w:spacing w:before="0" w:after="0" w:line="560" w:lineRule="exact"/>
        <w:ind w:left="0" w:leftChars="0" w:firstLine="420" w:firstLineChars="0"/>
        <w:textAlignment w:val="auto"/>
        <w:rPr>
          <w:rFonts w:hint="eastAsia"/>
          <w:sz w:val="32"/>
          <w:szCs w:val="32"/>
          <w:lang w:val="en-US" w:eastAsia="zh-CN"/>
        </w:rPr>
      </w:pPr>
      <w:bookmarkStart w:id="7" w:name="_Toc8583"/>
      <w:r>
        <w:rPr>
          <w:rFonts w:hint="eastAsia"/>
          <w:sz w:val="32"/>
          <w:szCs w:val="32"/>
          <w:lang w:val="en-US" w:eastAsia="zh-CN"/>
        </w:rPr>
        <w:t>集团公司智慧港口建设管理体制机制发展情况</w:t>
      </w:r>
      <w:bookmarkEnd w:id="7"/>
    </w:p>
    <w:p w14:paraId="0B6FFADB">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z w:val="32"/>
          <w:szCs w:val="32"/>
          <w:highlight w:val="none"/>
        </w:rPr>
      </w:pPr>
      <w:r>
        <w:rPr>
          <w:rFonts w:hint="eastAsia" w:ascii="仿宋_GB2312" w:eastAsia="仿宋_GB2312"/>
          <w:sz w:val="32"/>
          <w:szCs w:val="32"/>
          <w:highlight w:val="none"/>
        </w:rPr>
        <w:t>近年来，集团公司始终把智慧港口建设与数字化转型摆在首要位置，开展数字化转型顶层设计，编制数字化转型变革规划，推进数字化战略实施。集团公司高度重视数字化管理体系建设，2</w:t>
      </w:r>
      <w:r>
        <w:rPr>
          <w:rFonts w:ascii="仿宋_GB2312" w:eastAsia="仿宋_GB2312"/>
          <w:sz w:val="32"/>
          <w:szCs w:val="32"/>
          <w:highlight w:val="none"/>
        </w:rPr>
        <w:t>023</w:t>
      </w:r>
      <w:r>
        <w:rPr>
          <w:rFonts w:hint="eastAsia" w:ascii="仿宋_GB2312" w:eastAsia="仿宋_GB2312"/>
          <w:sz w:val="32"/>
          <w:szCs w:val="32"/>
          <w:highlight w:val="none"/>
        </w:rPr>
        <w:t>年成立集团公司数字化转型办公室，搭建技术创新生态，有力支撑天津港智慧港口建设迈入世界一流行列，持续保持行业科技创新领先者地位。</w:t>
      </w:r>
    </w:p>
    <w:p w14:paraId="65D899B9">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总结近年来集团公司智慧港口管理体制建设情况，概括为“老”“新”“大”“小”四个特点。</w:t>
      </w:r>
    </w:p>
    <w:p w14:paraId="12857A65">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1.“老”主要体现在集团公司信息化建设历史悠久</w:t>
      </w:r>
    </w:p>
    <w:p w14:paraId="1A8927A4">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1945年  天津海岸电台投入使用，标志着天津海岸专用通信业务的正式开通，天津口岸信息化建设拉开了帷幕。</w:t>
      </w:r>
    </w:p>
    <w:p w14:paraId="6BD31B7F">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1945年  成立天津海岸电台（原隶属原天津电信局）</w:t>
      </w:r>
    </w:p>
    <w:p w14:paraId="4C6683E6">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1950年  天津电信局更名为“北洋区海运管理局天津分局”</w:t>
      </w:r>
    </w:p>
    <w:p w14:paraId="22989AC1">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1952年  海运局天津分局合并于天津港务局</w:t>
      </w:r>
    </w:p>
    <w:p w14:paraId="76D07BC3">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000000" w:themeColor="text1"/>
          <w:sz w:val="32"/>
          <w:szCs w:val="32"/>
          <w:highlight w:val="none"/>
          <w:lang w:val="en-US" w:eastAsia="zh-CN"/>
          <w14:textFill>
            <w14:solidFill>
              <w14:schemeClr w14:val="tx1"/>
            </w14:solidFill>
          </w14:textFill>
        </w:rPr>
      </w:pPr>
      <w:r>
        <w:rPr>
          <w:rFonts w:hint="eastAsia" w:ascii="仿宋_GB2312" w:eastAsia="仿宋_GB2312"/>
          <w:color w:val="000000" w:themeColor="text1"/>
          <w:sz w:val="32"/>
          <w:szCs w:val="32"/>
          <w:highlight w:val="none"/>
          <w:lang w:val="en-US" w:eastAsia="zh-CN"/>
          <w14:textFill>
            <w14:solidFill>
              <w14:schemeClr w14:val="tx1"/>
            </w14:solidFill>
          </w14:textFill>
        </w:rPr>
        <w:t>1959年  通信导航修配站正式成立，原天津港务局通信科改为通信站</w:t>
      </w:r>
    </w:p>
    <w:p w14:paraId="0188713A">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000000" w:themeColor="text1"/>
          <w:sz w:val="32"/>
          <w:szCs w:val="32"/>
          <w:highlight w:val="none"/>
          <w:lang w:val="en-US" w:eastAsia="zh-CN"/>
          <w14:textFill>
            <w14:solidFill>
              <w14:schemeClr w14:val="tx1"/>
            </w14:solidFill>
          </w14:textFill>
        </w:rPr>
      </w:pPr>
      <w:r>
        <w:rPr>
          <w:rFonts w:hint="eastAsia" w:ascii="仿宋_GB2312" w:eastAsia="仿宋_GB2312"/>
          <w:color w:val="000000" w:themeColor="text1"/>
          <w:sz w:val="32"/>
          <w:szCs w:val="32"/>
          <w:highlight w:val="none"/>
          <w:lang w:val="en-US" w:eastAsia="zh-CN"/>
          <w14:textFill>
            <w14:solidFill>
              <w14:schemeClr w14:val="tx1"/>
            </w14:solidFill>
          </w14:textFill>
        </w:rPr>
        <w:t>1982年  原天津港务局成立电算室</w:t>
      </w:r>
    </w:p>
    <w:p w14:paraId="15E71358">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000000" w:themeColor="text1"/>
          <w:sz w:val="32"/>
          <w:szCs w:val="32"/>
          <w:highlight w:val="none"/>
          <w:lang w:val="en-US" w:eastAsia="zh-CN"/>
          <w14:textFill>
            <w14:solidFill>
              <w14:schemeClr w14:val="tx1"/>
            </w14:solidFill>
          </w14:textFill>
        </w:rPr>
      </w:pPr>
      <w:r>
        <w:rPr>
          <w:rFonts w:hint="eastAsia" w:ascii="仿宋_GB2312" w:eastAsia="仿宋_GB2312"/>
          <w:color w:val="000000" w:themeColor="text1"/>
          <w:sz w:val="32"/>
          <w:szCs w:val="32"/>
          <w:highlight w:val="none"/>
          <w:lang w:val="en-US" w:eastAsia="zh-CN"/>
          <w14:textFill>
            <w14:solidFill>
              <w14:schemeClr w14:val="tx1"/>
            </w14:solidFill>
          </w14:textFill>
        </w:rPr>
        <w:t>1985年  通信站改为天津港通信公司</w:t>
      </w:r>
    </w:p>
    <w:p w14:paraId="43B5F6DD">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z w:val="32"/>
          <w:szCs w:val="32"/>
          <w:highlight w:val="none"/>
          <w:lang w:val="en-US" w:eastAsia="zh-CN"/>
        </w:rPr>
      </w:pPr>
      <w:r>
        <w:rPr>
          <w:rFonts w:hint="eastAsia" w:ascii="仿宋_GB2312" w:eastAsia="仿宋_GB2312"/>
          <w:color w:val="000000" w:themeColor="text1"/>
          <w:sz w:val="32"/>
          <w:szCs w:val="32"/>
          <w:highlight w:val="none"/>
          <w:lang w:val="en-US" w:eastAsia="zh-CN"/>
          <w14:textFill>
            <w14:solidFill>
              <w14:schemeClr w14:val="tx1"/>
            </w14:solidFill>
          </w14:textFill>
        </w:rPr>
        <w:t>1993年  电算室改为天津港信息</w:t>
      </w:r>
      <w:r>
        <w:rPr>
          <w:rFonts w:hint="eastAsia" w:ascii="仿宋_GB2312" w:eastAsia="仿宋_GB2312"/>
          <w:sz w:val="32"/>
          <w:szCs w:val="32"/>
          <w:highlight w:val="none"/>
          <w:lang w:val="en-US" w:eastAsia="zh-CN"/>
        </w:rPr>
        <w:t>中心</w:t>
      </w:r>
    </w:p>
    <w:p w14:paraId="62631C69">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000000" w:themeColor="text1"/>
          <w:sz w:val="32"/>
          <w:szCs w:val="32"/>
          <w:highlight w:val="none"/>
          <w:lang w:val="en-US" w:eastAsia="zh-CN"/>
          <w14:textFill>
            <w14:solidFill>
              <w14:schemeClr w14:val="tx1"/>
            </w14:solidFill>
          </w14:textFill>
        </w:rPr>
      </w:pPr>
      <w:r>
        <w:rPr>
          <w:rFonts w:hint="eastAsia" w:ascii="仿宋_GB2312" w:eastAsia="仿宋_GB2312"/>
          <w:color w:val="000000" w:themeColor="text1"/>
          <w:sz w:val="32"/>
          <w:szCs w:val="32"/>
          <w:highlight w:val="none"/>
          <w:lang w:val="en-US" w:eastAsia="zh-CN"/>
          <w14:textFill>
            <w14:solidFill>
              <w14:schemeClr w14:val="tx1"/>
            </w14:solidFill>
          </w14:textFill>
        </w:rPr>
        <w:t>2007年  天津港信息中心改制成立天津港信息公司，同时具备信息中心职能（2017年该职能并入原集团科信部）。</w:t>
      </w:r>
    </w:p>
    <w:p w14:paraId="1C5ACBD7">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000000" w:themeColor="text1"/>
          <w:sz w:val="32"/>
          <w:szCs w:val="32"/>
          <w:highlight w:val="none"/>
          <w:lang w:val="en-US" w:eastAsia="zh-CN"/>
          <w14:textFill>
            <w14:solidFill>
              <w14:schemeClr w14:val="tx1"/>
            </w14:solidFill>
          </w14:textFill>
        </w:rPr>
      </w:pPr>
      <w:r>
        <w:rPr>
          <w:rFonts w:hint="eastAsia" w:ascii="仿宋_GB2312" w:eastAsia="仿宋_GB2312"/>
          <w:color w:val="000000" w:themeColor="text1"/>
          <w:sz w:val="32"/>
          <w:szCs w:val="32"/>
          <w:highlight w:val="none"/>
          <w:lang w:val="en-US" w:eastAsia="zh-CN"/>
          <w14:textFill>
            <w14:solidFill>
              <w14:schemeClr w14:val="tx1"/>
            </w14:solidFill>
          </w14:textFill>
        </w:rPr>
        <w:t>2009年  天津港信息公司与天津港通信公司整合，仍具备信息中心职能。</w:t>
      </w:r>
    </w:p>
    <w:p w14:paraId="34C2E8A1">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color w:val="000000" w:themeColor="text1"/>
          <w:sz w:val="32"/>
          <w:szCs w:val="32"/>
          <w:highlight w:val="none"/>
          <w:lang w:val="en-US" w:eastAsia="zh-CN"/>
          <w14:textFill>
            <w14:solidFill>
              <w14:schemeClr w14:val="tx1"/>
            </w14:solidFill>
          </w14:textFill>
        </w:rPr>
      </w:pPr>
      <w:r>
        <w:rPr>
          <w:rFonts w:hint="eastAsia" w:ascii="仿宋_GB2312" w:eastAsia="仿宋_GB2312"/>
          <w:color w:val="000000" w:themeColor="text1"/>
          <w:sz w:val="32"/>
          <w:szCs w:val="32"/>
          <w:highlight w:val="none"/>
          <w:lang w:val="en-US" w:eastAsia="zh-CN"/>
          <w14:textFill>
            <w14:solidFill>
              <w14:schemeClr w14:val="tx1"/>
            </w14:solidFill>
          </w14:textFill>
        </w:rPr>
        <w:t>2017年  信息中心职能归属集团科信部</w:t>
      </w:r>
    </w:p>
    <w:p w14:paraId="4350798F">
      <w:pPr>
        <w:pageBreakBefore w:val="0"/>
        <w:widowControl w:val="0"/>
        <w:kinsoku/>
        <w:wordWrap/>
        <w:overflowPunct/>
        <w:topLinePunct w:val="0"/>
        <w:autoSpaceDE/>
        <w:autoSpaceDN/>
        <w:bidi w:val="0"/>
        <w:adjustRightInd/>
        <w:snapToGrid/>
        <w:spacing w:line="560" w:lineRule="exact"/>
        <w:ind w:firstLine="620" w:firstLineChars="200"/>
        <w:textAlignment w:val="auto"/>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pPr>
      <w:r>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t>信息公司承载集团智慧港口项目技术服务、项目落地的重要使命，是集团数字化转型技术人才的聚集地和项目建设的主力军。成立至今，信息公司历经多次架构优化，目前在产业发展公司管理下发挥经营型企业定位职能。</w:t>
      </w:r>
    </w:p>
    <w:p w14:paraId="20C7055F">
      <w:pPr>
        <w:pageBreakBefore w:val="0"/>
        <w:widowControl w:val="0"/>
        <w:kinsoku/>
        <w:wordWrap/>
        <w:overflowPunct/>
        <w:topLinePunct w:val="0"/>
        <w:autoSpaceDE/>
        <w:autoSpaceDN/>
        <w:bidi w:val="0"/>
        <w:adjustRightInd/>
        <w:snapToGrid/>
        <w:spacing w:line="560" w:lineRule="exact"/>
        <w:ind w:firstLine="640" w:firstLineChars="200"/>
        <w:textAlignment w:val="auto"/>
        <w:rPr>
          <w:color w:val="000000" w:themeColor="text1"/>
          <w14:textFill>
            <w14:solidFill>
              <w14:schemeClr w14:val="tx1"/>
            </w14:solidFill>
          </w14:textFill>
        </w:rPr>
      </w:pPr>
      <w:r>
        <w:rPr>
          <w:rFonts w:hint="eastAsia" w:ascii="仿宋_GB2312" w:eastAsia="仿宋_GB2312"/>
          <w:color w:val="000000" w:themeColor="text1"/>
          <w:sz w:val="32"/>
          <w:szCs w:val="32"/>
          <w:highlight w:val="none"/>
          <w:lang w:val="en-US" w:eastAsia="zh-CN"/>
          <w14:textFill>
            <w14:solidFill>
              <w14:schemeClr w14:val="tx1"/>
            </w14:solidFill>
          </w14:textFill>
        </w:rPr>
        <w:t xml:space="preserve">2023 年10月，集团成立数字化转型办公室，作为一级职能部室与科工管理部合署办公，履行数字化战略规划、架构管理、 项目管理、数据管理等核心职能，为数字化转型工作定制度、定标准、抓考核，成为集团数字化转型的“总指挥部”，定编岗位7人 在岗6人。 </w:t>
      </w:r>
    </w:p>
    <w:p w14:paraId="3B453968">
      <w:pPr>
        <w:pageBreakBefore w:val="0"/>
        <w:widowControl w:val="0"/>
        <w:kinsoku/>
        <w:wordWrap/>
        <w:overflowPunct/>
        <w:topLinePunct w:val="0"/>
        <w:autoSpaceDE/>
        <w:autoSpaceDN/>
        <w:bidi w:val="0"/>
        <w:adjustRightInd/>
        <w:snapToGrid/>
        <w:spacing w:line="560" w:lineRule="exact"/>
        <w:ind w:firstLine="620" w:firstLineChars="200"/>
        <w:textAlignment w:val="auto"/>
        <w:rPr>
          <w:color w:val="000000" w:themeColor="text1"/>
          <w14:textFill>
            <w14:solidFill>
              <w14:schemeClr w14:val="tx1"/>
            </w14:solidFill>
          </w14:textFill>
        </w:rPr>
      </w:pPr>
      <w:r>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t xml:space="preserve">2024 年12月，集团成立大数据管理中心在信息公司实体运 </w:t>
      </w:r>
    </w:p>
    <w:p w14:paraId="1A7A9B45">
      <w:pPr>
        <w:keepNext w:val="0"/>
        <w:keepLines w:val="0"/>
        <w:widowControl/>
        <w:suppressLineNumbers w:val="0"/>
        <w:jc w:val="left"/>
        <w:rPr>
          <w:color w:val="000000" w:themeColor="text1"/>
          <w14:textFill>
            <w14:solidFill>
              <w14:schemeClr w14:val="tx1"/>
            </w14:solidFill>
          </w14:textFill>
        </w:rPr>
      </w:pPr>
      <w:r>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t xml:space="preserve">作。中心作为集团数字化转型技术统筹部门，履行技术架构设计， </w:t>
      </w:r>
    </w:p>
    <w:p w14:paraId="3B1EFD16">
      <w:pPr>
        <w:keepNext w:val="0"/>
        <w:keepLines w:val="0"/>
        <w:widowControl/>
        <w:suppressLineNumbers w:val="0"/>
        <w:jc w:val="left"/>
        <w:rPr>
          <w:rFonts w:hint="eastAsia" w:ascii="仿宋_GB2312" w:hAnsi="宋体" w:eastAsia="仿宋_GB2312" w:cs="仿宋_GB2312"/>
          <w:b w:val="0"/>
          <w:bCs w:val="0"/>
          <w:color w:val="000000" w:themeColor="text1"/>
          <w:kern w:val="0"/>
          <w:sz w:val="31"/>
          <w:szCs w:val="31"/>
          <w:lang w:val="en-US" w:eastAsia="zh-CN" w:bidi="ar"/>
          <w14:textFill>
            <w14:solidFill>
              <w14:schemeClr w14:val="tx1"/>
            </w14:solidFill>
          </w14:textFill>
        </w:rPr>
      </w:pPr>
      <w:r>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t>数据架构设计等职责，确保集团数字化转型项目技术路线的统一性、标准性和可持续性，中心不直接参与经营性业务。</w:t>
      </w:r>
      <w:r>
        <w:rPr>
          <w:rFonts w:hint="eastAsia" w:ascii="仿宋_GB2312" w:eastAsia="仿宋_GB2312"/>
          <w:color w:val="000000" w:themeColor="text1"/>
          <w:sz w:val="32"/>
          <w:szCs w:val="32"/>
          <w:highlight w:val="none"/>
          <w:lang w:val="en-US" w:eastAsia="zh-CN"/>
          <w14:textFill>
            <w14:solidFill>
              <w14:schemeClr w14:val="tx1"/>
            </w14:solidFill>
          </w14:textFill>
        </w:rPr>
        <w:t>定编岗位20人，在岗2人。</w:t>
      </w:r>
      <w:r>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t>集团公司数字化管理体系架构见图1。</w:t>
      </w:r>
      <w:r>
        <w:rPr>
          <w:rFonts w:hint="eastAsia" w:ascii="仿宋_GB2312" w:hAnsi="宋体" w:eastAsia="仿宋_GB2312" w:cs="仿宋_GB2312"/>
          <w:b w:val="0"/>
          <w:bCs w:val="0"/>
          <w:color w:val="000000" w:themeColor="text1"/>
          <w:kern w:val="0"/>
          <w:sz w:val="31"/>
          <w:szCs w:val="31"/>
          <w:lang w:val="en-US" w:eastAsia="zh-CN" w:bidi="ar"/>
          <w14:textFill>
            <w14:solidFill>
              <w14:schemeClr w14:val="tx1"/>
            </w14:solidFill>
          </w14:textFill>
        </w:rPr>
        <w:t>集团公司智慧港口建设管理体制机制发展沿革见图2。</w:t>
      </w:r>
    </w:p>
    <w:p w14:paraId="7865DCEA">
      <w:pPr>
        <w:pageBreakBefore w:val="0"/>
        <w:widowControl w:val="0"/>
        <w:kinsoku/>
        <w:wordWrap/>
        <w:overflowPunct/>
        <w:topLinePunct w:val="0"/>
        <w:autoSpaceDE/>
        <w:autoSpaceDN/>
        <w:bidi w:val="0"/>
        <w:adjustRightInd/>
        <w:snapToGrid/>
        <w:spacing w:line="560" w:lineRule="exact"/>
        <w:textAlignment w:val="auto"/>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pPr>
    </w:p>
    <w:p w14:paraId="4E96EDA8">
      <w:pPr>
        <w:keepNext w:val="0"/>
        <w:keepLines w:val="0"/>
        <w:widowControl/>
        <w:suppressLineNumbers w:val="0"/>
        <w:jc w:val="left"/>
        <w:rPr>
          <w:rFonts w:hint="eastAsia" w:ascii="仿宋_GB2312" w:eastAsia="仿宋_GB2312"/>
          <w:sz w:val="32"/>
          <w:szCs w:val="32"/>
          <w:highlight w:val="none"/>
        </w:rPr>
      </w:pPr>
      <w:r>
        <w:rPr>
          <w:rFonts w:hint="eastAsia" w:ascii="仿宋_GB2312" w:hAnsi="宋体" w:eastAsia="仿宋_GB2312" w:cs="仿宋_GB2312"/>
          <w:color w:val="000000"/>
          <w:kern w:val="0"/>
          <w:sz w:val="31"/>
          <w:szCs w:val="31"/>
          <w:lang w:val="en-US" w:eastAsia="zh-CN" w:bidi="ar"/>
        </w:rPr>
        <w:t xml:space="preserve"> </w:t>
      </w:r>
    </w:p>
    <w:p w14:paraId="39409BF5">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bCs w:val="0"/>
          <w:kern w:val="44"/>
          <w:sz w:val="28"/>
          <w:szCs w:val="28"/>
          <w:lang w:val="en-US" w:eastAsia="zh-CN" w:bidi="ar-SA"/>
        </w:rPr>
      </w:pPr>
      <w:r>
        <w:rPr>
          <w:rFonts w:hint="eastAsia" w:ascii="仿宋_GB2312" w:hAnsi="仿宋_GB2312" w:eastAsia="仿宋_GB2312" w:cs="仿宋_GB2312"/>
          <w:b w:val="0"/>
          <w:bCs w:val="0"/>
          <w:kern w:val="44"/>
          <w:sz w:val="28"/>
          <w:szCs w:val="28"/>
          <w:lang w:val="en-US" w:eastAsia="zh-CN" w:bidi="ar-SA"/>
        </w:rPr>
        <w:drawing>
          <wp:anchor distT="0" distB="0" distL="114300" distR="114300" simplePos="0" relativeHeight="251661312" behindDoc="0" locked="0" layoutInCell="1" allowOverlap="1">
            <wp:simplePos x="0" y="0"/>
            <wp:positionH relativeFrom="column">
              <wp:posOffset>-38100</wp:posOffset>
            </wp:positionH>
            <wp:positionV relativeFrom="paragraph">
              <wp:posOffset>325120</wp:posOffset>
            </wp:positionV>
            <wp:extent cx="5613400" cy="3009265"/>
            <wp:effectExtent l="0" t="0" r="6350" b="635"/>
            <wp:wrapTopAndBottom/>
            <wp:docPr id="3" name="图片 3" descr="107a083051b79c2bc458717a25338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7a083051b79c2bc458717a25338e8d"/>
                    <pic:cNvPicPr>
                      <a:picLocks noChangeAspect="1"/>
                    </pic:cNvPicPr>
                  </pic:nvPicPr>
                  <pic:blipFill>
                    <a:blip r:embed="rId6"/>
                    <a:stretch>
                      <a:fillRect/>
                    </a:stretch>
                  </pic:blipFill>
                  <pic:spPr>
                    <a:xfrm>
                      <a:off x="0" y="0"/>
                      <a:ext cx="5613400" cy="3009265"/>
                    </a:xfrm>
                    <a:prstGeom prst="rect">
                      <a:avLst/>
                    </a:prstGeom>
                  </pic:spPr>
                </pic:pic>
              </a:graphicData>
            </a:graphic>
          </wp:anchor>
        </w:drawing>
      </w:r>
      <w:r>
        <w:rPr>
          <w:rFonts w:hint="eastAsia" w:ascii="仿宋_GB2312" w:hAnsi="仿宋_GB2312" w:eastAsia="仿宋_GB2312" w:cs="仿宋_GB2312"/>
          <w:b w:val="0"/>
          <w:bCs w:val="0"/>
          <w:kern w:val="44"/>
          <w:sz w:val="28"/>
          <w:szCs w:val="28"/>
          <w:lang w:val="en-US" w:eastAsia="zh-CN" w:bidi="ar-SA"/>
        </w:rPr>
        <w:t>图1 集团公司数字化管理体系架构图</w:t>
      </w:r>
    </w:p>
    <w:p w14:paraId="35A50F43">
      <w:pPr>
        <w:pageBreakBefore w:val="0"/>
        <w:widowControl w:val="0"/>
        <w:kinsoku/>
        <w:wordWrap/>
        <w:overflowPunct/>
        <w:topLinePunct w:val="0"/>
        <w:autoSpaceDE/>
        <w:autoSpaceDN/>
        <w:bidi w:val="0"/>
        <w:adjustRightInd/>
        <w:snapToGrid/>
        <w:spacing w:line="560" w:lineRule="exact"/>
        <w:jc w:val="center"/>
        <w:textAlignment w:val="auto"/>
        <w:rPr>
          <w:rFonts w:hint="default" w:ascii="仿宋_GB2312" w:hAnsi="仿宋_GB2312" w:eastAsia="仿宋_GB2312" w:cs="仿宋_GB2312"/>
          <w:b w:val="0"/>
          <w:bCs w:val="0"/>
          <w:kern w:val="44"/>
          <w:sz w:val="28"/>
          <w:szCs w:val="28"/>
          <w:lang w:val="en-US" w:eastAsia="zh-CN" w:bidi="ar-SA"/>
        </w:rPr>
      </w:pPr>
      <w:r>
        <w:drawing>
          <wp:anchor distT="0" distB="0" distL="114300" distR="114300" simplePos="0" relativeHeight="251662336" behindDoc="0" locked="0" layoutInCell="1" allowOverlap="1">
            <wp:simplePos x="0" y="0"/>
            <wp:positionH relativeFrom="column">
              <wp:posOffset>-95250</wp:posOffset>
            </wp:positionH>
            <wp:positionV relativeFrom="paragraph">
              <wp:posOffset>91440</wp:posOffset>
            </wp:positionV>
            <wp:extent cx="5612130" cy="2905760"/>
            <wp:effectExtent l="0" t="0" r="11430" b="5080"/>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5612130" cy="2905760"/>
                    </a:xfrm>
                    <a:prstGeom prst="rect">
                      <a:avLst/>
                    </a:prstGeom>
                    <a:noFill/>
                    <a:ln>
                      <a:noFill/>
                    </a:ln>
                  </pic:spPr>
                </pic:pic>
              </a:graphicData>
            </a:graphic>
          </wp:anchor>
        </w:drawing>
      </w:r>
      <w:r>
        <w:rPr>
          <w:rFonts w:hint="eastAsia" w:ascii="仿宋_GB2312" w:hAnsi="仿宋_GB2312" w:eastAsia="仿宋_GB2312" w:cs="仿宋_GB2312"/>
          <w:b w:val="0"/>
          <w:bCs w:val="0"/>
          <w:kern w:val="44"/>
          <w:sz w:val="28"/>
          <w:szCs w:val="28"/>
          <w:lang w:val="en-US" w:eastAsia="zh-CN" w:bidi="ar-SA"/>
        </w:rPr>
        <w:t>图2 集团公司智慧港口建设管理体制机制发展沿革</w:t>
      </w:r>
    </w:p>
    <w:p w14:paraId="242ADC8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2.“新”主要体现在信息技术和信息产业发展速度快</w:t>
      </w:r>
    </w:p>
    <w:p w14:paraId="393A501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一是正处于信息技术与信息产业的新领域</w:t>
      </w:r>
    </w:p>
    <w:p w14:paraId="71F164F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C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1）信息技术层面：集团公司智慧港口建设工作，承担着将前沿信息技术运用到港口的生产与运营中去，切实提升生产效率、效益的任务，比如：率先将5G技术应用在港口无人集卡的研发上，以到达精确的远程操控、高速的数据传输、实时的视频回传，我们建成了全球首个“智慧零碳”码头，全域安装10万余个传感器，实现点位设施全面接入与关键要素可视化等等。</w:t>
      </w:r>
    </w:p>
    <w:p w14:paraId="43E1E22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2）信息产业层面：迎合行业趋势，利用信息化手段，逐步实现集装箱码头操作系统国产化。在智能水平运输项目中，我们自主研发了新一代L4级无人水平运输设备（ART）并实现规模化商业运营。同时，“津港智造”的智慧港口整体解决方案已成功走向海外，沙特NEOM港项目进入交付阶段。</w:t>
      </w:r>
    </w:p>
    <w:p w14:paraId="4E3F849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b w:val="0"/>
          <w:bCs w:val="0"/>
          <w:color w:val="auto"/>
          <w:sz w:val="32"/>
          <w:szCs w:val="32"/>
          <w:lang w:val="en-US" w:eastAsia="zh-CN"/>
        </w:rPr>
      </w:pPr>
      <w:r>
        <w:rPr>
          <w:rFonts w:hint="eastAsia" w:ascii="仿宋_GB2312" w:hAnsi="宋体" w:eastAsia="仿宋_GB2312" w:cs="仿宋_GB2312"/>
          <w:color w:val="000000"/>
          <w:kern w:val="0"/>
          <w:sz w:val="32"/>
          <w:szCs w:val="32"/>
          <w:lang w:val="en-US" w:eastAsia="zh-CN" w:bidi="ar"/>
        </w:rPr>
        <w:t>深度参与这些核心项目，让我们在核心技术知识产权归属与保护、多场景自动化解决方案技术复用与快速适配、跨国项目高效管理体系搭建等多个维度，迎来了全新挑战。我们需要建立更为高效的数字化体系，掌握智慧港口项目解决方案主动权。</w:t>
      </w:r>
    </w:p>
    <w:p w14:paraId="0E16E58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二是我们正面临着新的历史使命</w:t>
      </w:r>
    </w:p>
    <w:p w14:paraId="6DF4E9B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“十五五”时期，在新一轮科技革命和产业变革的背景下，我们迎来了以“打造数字孪生天津港，引领港口经济发展”为核心愿景的智慧港口建设新使命。</w:t>
      </w:r>
    </w:p>
    <w:p w14:paraId="702837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一方面，我们要全面推进数字化交易、生产、管理、经营、产业和底座“六个数字化”建设，将人工智能等新技术与港航业务深度融合，实现数据驱动的精细化管控与智能决策。</w:t>
      </w:r>
    </w:p>
    <w:p w14:paraId="0194940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宋体" w:eastAsia="仿宋_GB2312" w:cs="仿宋_GB2312"/>
          <w:color w:val="000000"/>
          <w:kern w:val="0"/>
          <w:sz w:val="32"/>
          <w:szCs w:val="32"/>
          <w:lang w:val="en-US" w:eastAsia="zh-CN" w:bidi="ar"/>
        </w:rPr>
        <w:t>另一方面，我们将致力于推动港口由装卸向综合型港航物流运营商转变、由码头智能化向航运服务智慧化转型。通过深挖数据要素价值、落实安全可信的数据交易机制、深化信创与核心技术自主可控，我们不仅要全面建成“数字孪生天津港”，更要让自主创新的“天津港方案”走向全球，为高水平建成世界一流智慧绿色枢纽港口贡献核心力量。</w:t>
      </w:r>
    </w:p>
    <w:p w14:paraId="2DFC4A9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b w:val="0"/>
          <w:bCs w:val="0"/>
          <w:kern w:val="2"/>
          <w:sz w:val="32"/>
          <w:szCs w:val="32"/>
          <w:lang w:val="en-US" w:eastAsia="zh-CN" w:bidi="ar-SA"/>
        </w:rPr>
      </w:pPr>
      <w:r>
        <w:rPr>
          <w:rFonts w:hint="eastAsia" w:ascii="仿宋_GB2312" w:hAnsi="黑体" w:eastAsia="仿宋_GB2312" w:cstheme="minorBidi"/>
          <w:b w:val="0"/>
          <w:bCs w:val="0"/>
          <w:kern w:val="2"/>
          <w:sz w:val="32"/>
          <w:szCs w:val="32"/>
          <w:lang w:val="en-US" w:eastAsia="zh-CN" w:bidi="ar-SA"/>
        </w:rPr>
        <w:t>3.“大”主要体现在智慧港口管控范围逐渐增大</w:t>
      </w:r>
    </w:p>
    <w:p w14:paraId="69730F5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一是通信网络设施技术在不断进步，覆盖面不断扩大</w:t>
      </w:r>
    </w:p>
    <w:p w14:paraId="731C4BF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天津港通信网络基础设施建设从1992年的程控交换机到2002年的通信光缆，从2011年的软交换设备到2019年的PON技术应用，如今更是全面迈入“5G+万物互联”的新阶段。我们联合运营商累计开通了190座5G基站，实现了5G网络在主要港区的全覆盖以及在重点区域的深度覆盖，并建成了行业首个面向工业场景的5G专网。同时，我们在骨干网深化F5G全光网应用，探索打造融合“5G+GIS+BIM+物联网”的感知网络。</w:t>
      </w:r>
    </w:p>
    <w:p w14:paraId="29D7D46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二是信息系统管控范围不断扩大</w:t>
      </w:r>
    </w:p>
    <w:p w14:paraId="35CF077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2"/>
          <w:szCs w:val="32"/>
          <w:lang w:val="en-US" w:eastAsia="zh-CN" w:bidi="ar"/>
        </w:rPr>
      </w:pPr>
      <w:r>
        <w:rPr>
          <w:rFonts w:hint="eastAsia" w:ascii="仿宋_GB2312" w:hAnsi="宋体" w:eastAsia="仿宋_GB2312" w:cs="仿宋_GB2312"/>
          <w:color w:val="000000"/>
          <w:kern w:val="0"/>
          <w:sz w:val="32"/>
          <w:szCs w:val="32"/>
          <w:lang w:val="en-US" w:eastAsia="zh-CN" w:bidi="ar"/>
        </w:rPr>
        <w:t>在日常管理方面，包括人事、财务、OA、调度系统等管理系统，早已融入天津港日常办公的各个方面；在生产业务方面，如集装箱码头操作系统、件杂货码头操作系统、散杂货码头操作系统等生产中需要用到的系统，夜以继日的不间断运行，为天津港相关单位安全高效的生产作业提供了坚实的保障。</w:t>
      </w:r>
    </w:p>
    <w:p w14:paraId="543989C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黑体" w:eastAsia="仿宋_GB2312" w:cstheme="minorBidi"/>
          <w:b w:val="0"/>
          <w:bCs w:val="0"/>
          <w:kern w:val="2"/>
          <w:sz w:val="32"/>
          <w:szCs w:val="32"/>
          <w:lang w:val="en-US" w:eastAsia="zh-CN" w:bidi="ar-SA"/>
        </w:rPr>
      </w:pPr>
      <w:r>
        <w:rPr>
          <w:rFonts w:hint="eastAsia" w:ascii="仿宋_GB2312" w:hAnsi="宋体" w:eastAsia="仿宋_GB2312" w:cs="仿宋_GB2312"/>
          <w:color w:val="000000"/>
          <w:kern w:val="0"/>
          <w:sz w:val="32"/>
          <w:szCs w:val="32"/>
          <w:lang w:val="en-US" w:eastAsia="zh-CN" w:bidi="ar"/>
        </w:rPr>
        <w:t>我们管控边界已实现从“单点码头”向“全集团、全要素”的系统性跨越。新一代集装箱码头操作系统（JTOS）也已跨越单点，全面支撑集团所属全部集装箱码头的稳定运行，同时港口智能管控中心（IMCC）打通了全集团装卸生产、物流集疏运等核心业务链路，实现全流程一体化管控。</w:t>
      </w:r>
    </w:p>
    <w:p w14:paraId="16276011">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000000"/>
          <w:kern w:val="0"/>
          <w:sz w:val="31"/>
          <w:szCs w:val="31"/>
          <w:lang w:val="en-US" w:eastAsia="zh-CN" w:bidi="ar"/>
        </w:rPr>
      </w:pPr>
      <w:r>
        <w:rPr>
          <w:rFonts w:hint="eastAsia" w:ascii="仿宋_GB2312" w:hAnsi="黑体" w:eastAsia="仿宋_GB2312" w:cstheme="minorBidi"/>
          <w:b w:val="0"/>
          <w:bCs w:val="0"/>
          <w:kern w:val="2"/>
          <w:sz w:val="32"/>
          <w:szCs w:val="32"/>
          <w:lang w:val="en-US" w:eastAsia="zh-CN" w:bidi="ar-SA"/>
        </w:rPr>
        <w:t>4.“小”主要体现在核心技术人员规模小</w:t>
      </w:r>
    </w:p>
    <w:p w14:paraId="1AB3078F">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left"/>
        <w:textAlignment w:val="auto"/>
        <w:rPr>
          <w:rFonts w:hint="eastAsia"/>
          <w:color w:val="000000" w:themeColor="text1"/>
          <w14:textFill>
            <w14:solidFill>
              <w14:schemeClr w14:val="tx1"/>
            </w14:solidFill>
          </w14:textFill>
        </w:rPr>
      </w:pPr>
      <w:r>
        <w:rPr>
          <w:rFonts w:hint="eastAsia" w:ascii="仿宋_GB2312" w:hAnsi="宋体" w:eastAsia="仿宋_GB2312" w:cs="仿宋_GB2312"/>
          <w:color w:val="000000"/>
          <w:kern w:val="0"/>
          <w:sz w:val="31"/>
          <w:szCs w:val="31"/>
          <w:lang w:val="en-US" w:eastAsia="zh-CN" w:bidi="ar"/>
        </w:rPr>
        <w:t>信息公司拥有员工近两百名，核心技术人员约占其中四分之一，相比于国内其他港口的科技类公司，我们的科技人员无论是数量还是比率都相对偏少。</w:t>
      </w:r>
    </w:p>
    <w:p w14:paraId="6F263194">
      <w:pPr>
        <w:pStyle w:val="2"/>
        <w:keepNext/>
        <w:keepLines/>
        <w:pageBreakBefore w:val="0"/>
        <w:widowControl w:val="0"/>
        <w:numPr>
          <w:ilvl w:val="0"/>
          <w:numId w:val="1"/>
        </w:numPr>
        <w:kinsoku/>
        <w:wordWrap/>
        <w:overflowPunct/>
        <w:topLinePunct w:val="0"/>
        <w:autoSpaceDE/>
        <w:autoSpaceDN/>
        <w:bidi w:val="0"/>
        <w:adjustRightInd/>
        <w:snapToGrid/>
        <w:spacing w:before="0" w:after="0" w:line="560" w:lineRule="exact"/>
        <w:ind w:left="0" w:leftChars="0" w:firstLine="420" w:firstLineChars="0"/>
        <w:textAlignment w:val="auto"/>
        <w:rPr>
          <w:rFonts w:hint="eastAsia"/>
          <w:color w:val="000000" w:themeColor="text1"/>
          <w:lang w:val="en-US" w:eastAsia="zh-CN"/>
          <w14:textFill>
            <w14:solidFill>
              <w14:schemeClr w14:val="tx1"/>
            </w14:solidFill>
          </w14:textFill>
        </w:rPr>
      </w:pPr>
      <w:bookmarkStart w:id="8" w:name="_Toc24420"/>
      <w:r>
        <w:rPr>
          <w:rFonts w:hint="eastAsia"/>
          <w:sz w:val="32"/>
          <w:szCs w:val="32"/>
          <w:lang w:val="en-US" w:eastAsia="zh-CN"/>
        </w:rPr>
        <w:t>集团公司智慧港口建设取得的</w:t>
      </w:r>
      <w:r>
        <w:rPr>
          <w:rFonts w:hint="eastAsia" w:asciiTheme="minorHAnsi" w:hAnsiTheme="minorHAnsi" w:eastAsiaTheme="minorEastAsia" w:cstheme="minorBidi"/>
          <w:b/>
          <w:bCs/>
          <w:kern w:val="44"/>
          <w:sz w:val="32"/>
          <w:szCs w:val="32"/>
          <w:lang w:val="en-US" w:eastAsia="zh-CN" w:bidi="ar-SA"/>
        </w:rPr>
        <w:t>成果和面临形势</w:t>
      </w:r>
      <w:bookmarkEnd w:id="8"/>
    </w:p>
    <w:p w14:paraId="75DFCD96">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eastAsia"/>
          <w:b w:val="0"/>
          <w:bCs w:val="0"/>
          <w:lang w:val="en-US" w:eastAsia="zh-CN"/>
        </w:rPr>
      </w:pPr>
      <w:bookmarkStart w:id="9" w:name="_Toc5979"/>
      <w:r>
        <w:rPr>
          <w:rFonts w:hint="eastAsia"/>
          <w:b w:val="0"/>
          <w:bCs w:val="0"/>
          <w:lang w:val="en-US" w:eastAsia="zh-CN"/>
        </w:rPr>
        <w:t>（一）取得的成果</w:t>
      </w:r>
      <w:bookmarkEnd w:id="9"/>
    </w:p>
    <w:p w14:paraId="51A5F9D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1.装卸生产向“自动化”转变：建成全球首个“智慧零碳”码头，自主研发全球首套智能水平运输系统（FMS），集装箱大型装卸设备自动化占比达88%。</w:t>
      </w:r>
    </w:p>
    <w:p w14:paraId="75C969E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2.物流服务向“线上化”转变：打造了网上业务受理中心与“津港通”平台，实现集装箱主要业务单证电子化率100%、主要业务在线支付占比100%、线上受理率突破98%。</w:t>
      </w:r>
    </w:p>
    <w:p w14:paraId="19B1DE0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3.运营管理向“精益化”转变：自主研发自主可控信创版自动化集装箱码头操作系统（JTOS），支撑集装箱重点作业线效率（M效率）达到32.5箱/小时。上线港口生产服务运营平台（TCA），实现人事、财务、资产等管理流程闭环管控。</w:t>
      </w:r>
    </w:p>
    <w:p w14:paraId="25FAA0A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4.科技创新向“协同化”转变：在智慧绿色码头关键技术等领域，荣获中国港口协会科学技术奖特等奖1次、一等奖3次，累计斩获发明专利120项，有33项核心成果达到国际先进及以上技术水平。</w:t>
      </w:r>
    </w:p>
    <w:p w14:paraId="74BD9B9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b w:val="0"/>
          <w:bCs w:val="0"/>
          <w:kern w:val="2"/>
          <w:sz w:val="32"/>
          <w:szCs w:val="32"/>
          <w:highlight w:val="none"/>
          <w:lang w:val="en-US" w:eastAsia="zh-CN" w:bidi="ar-SA"/>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5.关键信息基础设施向“集约化”转变：建成软硬件全栈国产化的A级绿色低碳算力中心，核心计算能力超2万VCPU。</w:t>
      </w:r>
    </w:p>
    <w:p w14:paraId="43BFB027">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default"/>
          <w:b w:val="0"/>
          <w:bCs w:val="0"/>
          <w:lang w:val="en-US" w:eastAsia="zh-CN"/>
        </w:rPr>
      </w:pPr>
      <w:bookmarkStart w:id="10" w:name="_Toc15167"/>
      <w:r>
        <w:rPr>
          <w:rFonts w:hint="eastAsia"/>
          <w:b w:val="0"/>
          <w:bCs w:val="0"/>
          <w:lang w:val="en-US" w:eastAsia="zh-CN"/>
        </w:rPr>
        <w:t>（二）面临的形势</w:t>
      </w:r>
      <w:bookmarkEnd w:id="10"/>
    </w:p>
    <w:p w14:paraId="7D279DD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黑体" w:eastAsia="仿宋_GB2312" w:cstheme="minorBidi"/>
          <w:kern w:val="2"/>
          <w:sz w:val="32"/>
          <w:szCs w:val="44"/>
          <w:lang w:val="en-US" w:eastAsia="zh-CN" w:bidi="ar-SA"/>
        </w:rPr>
      </w:pPr>
      <w:r>
        <w:rPr>
          <w:rFonts w:hint="eastAsia" w:ascii="仿宋_GB2312" w:hAnsi="黑体" w:eastAsia="仿宋_GB2312" w:cstheme="minorBidi"/>
          <w:kern w:val="2"/>
          <w:sz w:val="32"/>
          <w:szCs w:val="44"/>
          <w:lang w:val="en-US" w:eastAsia="zh-CN" w:bidi="ar-SA"/>
        </w:rPr>
        <w:t>1.港航业务智慧化提升对ICT基础设施能力提出新要求</w:t>
      </w:r>
    </w:p>
    <w:p w14:paraId="3EEDCFE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Segoe UI" w:hAnsi="Segoe UI" w:eastAsia="仿宋_GB2312" w:cs="Segoe UI"/>
          <w:b w:val="0"/>
          <w:bCs w:val="0"/>
          <w:i w:val="0"/>
          <w:iCs w:val="0"/>
          <w:caps w:val="0"/>
          <w:spacing w:val="0"/>
          <w:sz w:val="24"/>
          <w:szCs w:val="24"/>
          <w:shd w:val="clear" w:fill="FFFFFF"/>
          <w:lang w:eastAsia="zh-CN"/>
        </w:rPr>
      </w:pPr>
      <w:r>
        <w:rPr>
          <w:rFonts w:hint="eastAsia" w:ascii="仿宋_GB2312" w:hAnsi="黑体" w:eastAsia="仿宋_GB2312" w:cstheme="minorBidi"/>
          <w:kern w:val="2"/>
          <w:sz w:val="32"/>
          <w:szCs w:val="44"/>
          <w:lang w:val="en-US" w:eastAsia="zh-CN" w:bidi="ar-SA"/>
        </w:rPr>
        <w:t>近年来，我们通过将物联网、人工智能、数字孪生、新一代通信技术等ICT基础设施新技术与港口生产业务深度融合，升级了无人驾驶技术、岸桥远程控制技术、自动化轨道吊技术等，实现了单机平均效率显著提升。</w:t>
      </w:r>
      <w:r>
        <w:rPr>
          <w:rFonts w:hint="eastAsia" w:ascii="仿宋_GB2312" w:hAnsi="仿宋_GB2312" w:eastAsia="仿宋_GB2312" w:cs="仿宋_GB2312"/>
          <w:b w:val="0"/>
          <w:bCs w:val="0"/>
          <w:i w:val="0"/>
          <w:iCs w:val="0"/>
          <w:caps w:val="0"/>
          <w:spacing w:val="0"/>
          <w:sz w:val="32"/>
          <w:szCs w:val="32"/>
          <w:shd w:val="clear" w:fill="FFFFFF"/>
        </w:rPr>
        <w:t>例如，太平洋国际集装箱码头通过智能</w:t>
      </w:r>
      <w:r>
        <w:rPr>
          <w:rFonts w:hint="eastAsia" w:ascii="仿宋_GB2312" w:hAnsi="仿宋_GB2312" w:eastAsia="仿宋_GB2312" w:cs="仿宋_GB2312"/>
          <w:b w:val="0"/>
          <w:bCs w:val="0"/>
          <w:i w:val="0"/>
          <w:iCs w:val="0"/>
          <w:caps w:val="0"/>
          <w:spacing w:val="0"/>
          <w:sz w:val="32"/>
          <w:szCs w:val="32"/>
          <w:shd w:val="clear" w:fill="FFFFFF"/>
          <w:lang w:val="en-US" w:eastAsia="zh-CN"/>
        </w:rPr>
        <w:t>算法的应用</w:t>
      </w:r>
      <w:r>
        <w:rPr>
          <w:rFonts w:hint="eastAsia" w:ascii="仿宋_GB2312" w:hAnsi="仿宋_GB2312" w:eastAsia="仿宋_GB2312" w:cs="仿宋_GB2312"/>
          <w:b w:val="0"/>
          <w:bCs w:val="0"/>
          <w:i w:val="0"/>
          <w:iCs w:val="0"/>
          <w:caps w:val="0"/>
          <w:spacing w:val="0"/>
          <w:sz w:val="32"/>
          <w:szCs w:val="32"/>
          <w:shd w:val="clear" w:fill="FFFFFF"/>
        </w:rPr>
        <w:t>，将</w:t>
      </w:r>
      <w:r>
        <w:rPr>
          <w:rFonts w:hint="eastAsia" w:ascii="仿宋_GB2312" w:hAnsi="仿宋_GB2312" w:eastAsia="仿宋_GB2312" w:cs="仿宋_GB2312"/>
          <w:b w:val="0"/>
          <w:bCs w:val="0"/>
          <w:i w:val="0"/>
          <w:iCs w:val="0"/>
          <w:caps w:val="0"/>
          <w:spacing w:val="0"/>
          <w:sz w:val="32"/>
          <w:szCs w:val="32"/>
          <w:shd w:val="clear" w:fill="FFFFFF"/>
          <w:lang w:eastAsia="zh-CN"/>
        </w:rPr>
        <w:t>“</w:t>
      </w:r>
      <w:r>
        <w:rPr>
          <w:rFonts w:hint="eastAsia" w:ascii="仿宋_GB2312" w:hAnsi="仿宋_GB2312" w:eastAsia="仿宋_GB2312" w:cs="仿宋_GB2312"/>
          <w:b w:val="0"/>
          <w:bCs w:val="0"/>
          <w:i w:val="0"/>
          <w:iCs w:val="0"/>
          <w:caps w:val="0"/>
          <w:spacing w:val="0"/>
          <w:sz w:val="32"/>
          <w:szCs w:val="32"/>
          <w:shd w:val="clear" w:fill="FFFFFF"/>
        </w:rPr>
        <w:t>中远海运樱花</w:t>
      </w:r>
      <w:r>
        <w:rPr>
          <w:rFonts w:hint="eastAsia" w:ascii="仿宋_GB2312" w:hAnsi="仿宋_GB2312" w:eastAsia="仿宋_GB2312" w:cs="仿宋_GB2312"/>
          <w:b w:val="0"/>
          <w:bCs w:val="0"/>
          <w:i w:val="0"/>
          <w:iCs w:val="0"/>
          <w:caps w:val="0"/>
          <w:spacing w:val="0"/>
          <w:sz w:val="32"/>
          <w:szCs w:val="32"/>
          <w:shd w:val="clear" w:fill="FFFFFF"/>
          <w:lang w:eastAsia="zh-CN"/>
        </w:rPr>
        <w:t>”</w:t>
      </w:r>
      <w:r>
        <w:rPr>
          <w:rFonts w:hint="eastAsia" w:ascii="仿宋_GB2312" w:hAnsi="仿宋_GB2312" w:eastAsia="仿宋_GB2312" w:cs="仿宋_GB2312"/>
          <w:b w:val="0"/>
          <w:bCs w:val="0"/>
          <w:i w:val="0"/>
          <w:iCs w:val="0"/>
          <w:caps w:val="0"/>
          <w:spacing w:val="0"/>
          <w:sz w:val="32"/>
          <w:szCs w:val="32"/>
          <w:shd w:val="clear" w:fill="FFFFFF"/>
        </w:rPr>
        <w:t>轮作业效率提升至</w:t>
      </w:r>
      <w:r>
        <w:rPr>
          <w:rStyle w:val="19"/>
          <w:rFonts w:hint="eastAsia" w:ascii="仿宋_GB2312" w:hAnsi="仿宋_GB2312" w:eastAsia="仿宋_GB2312" w:cs="仿宋_GB2312"/>
          <w:b w:val="0"/>
          <w:bCs w:val="0"/>
          <w:i w:val="0"/>
          <w:iCs w:val="0"/>
          <w:caps w:val="0"/>
          <w:spacing w:val="0"/>
          <w:sz w:val="32"/>
          <w:szCs w:val="32"/>
          <w:shd w:val="clear" w:fill="FFFFFF"/>
        </w:rPr>
        <w:t>282.34自然箱/小时</w:t>
      </w:r>
      <w:r>
        <w:rPr>
          <w:rFonts w:hint="eastAsia" w:ascii="仿宋_GB2312" w:hAnsi="仿宋_GB2312" w:eastAsia="仿宋_GB2312" w:cs="仿宋_GB2312"/>
          <w:b w:val="0"/>
          <w:bCs w:val="0"/>
          <w:i w:val="0"/>
          <w:iCs w:val="0"/>
          <w:caps w:val="0"/>
          <w:spacing w:val="0"/>
          <w:sz w:val="32"/>
          <w:szCs w:val="32"/>
          <w:shd w:val="clear" w:fill="FFFFFF"/>
        </w:rPr>
        <w:t>，刷新全球纪录。自主研发的JTOS码头操作系统替代国外系统后，每年节</w:t>
      </w:r>
      <w:bookmarkStart w:id="18" w:name="_GoBack"/>
      <w:bookmarkEnd w:id="18"/>
      <w:r>
        <w:rPr>
          <w:rFonts w:hint="eastAsia" w:ascii="仿宋_GB2312" w:hAnsi="仿宋_GB2312" w:eastAsia="仿宋_GB2312" w:cs="仿宋_GB2312"/>
          <w:b w:val="0"/>
          <w:bCs w:val="0"/>
          <w:i w:val="0"/>
          <w:iCs w:val="0"/>
          <w:caps w:val="0"/>
          <w:spacing w:val="0"/>
          <w:sz w:val="32"/>
          <w:szCs w:val="32"/>
          <w:shd w:val="clear" w:fill="FFFFFF"/>
        </w:rPr>
        <w:t>省服务费超千万元</w:t>
      </w:r>
      <w:r>
        <w:rPr>
          <w:rFonts w:hint="eastAsia" w:ascii="仿宋_GB2312" w:hAnsi="仿宋_GB2312" w:eastAsia="仿宋_GB2312" w:cs="仿宋_GB2312"/>
          <w:b w:val="0"/>
          <w:bCs w:val="0"/>
          <w:i w:val="0"/>
          <w:iCs w:val="0"/>
          <w:caps w:val="0"/>
          <w:spacing w:val="0"/>
          <w:sz w:val="32"/>
          <w:szCs w:val="32"/>
          <w:shd w:val="clear" w:fill="FFFFFF"/>
          <w:lang w:eastAsia="zh-CN"/>
        </w:rPr>
        <w:t>。</w:t>
      </w:r>
    </w:p>
    <w:p w14:paraId="148C9D1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cstheme="minorBidi"/>
          <w:color w:val="C00000"/>
          <w:kern w:val="2"/>
          <w:sz w:val="32"/>
          <w:szCs w:val="44"/>
          <w:lang w:val="en-US" w:eastAsia="zh-CN" w:bidi="ar-SA"/>
        </w:rPr>
      </w:pPr>
      <w:r>
        <w:rPr>
          <w:rFonts w:hint="eastAsia" w:ascii="仿宋_GB2312" w:hAnsi="仿宋_GB2312" w:eastAsia="仿宋_GB2312" w:cs="仿宋_GB2312"/>
          <w:b w:val="0"/>
          <w:bCs w:val="0"/>
          <w:i w:val="0"/>
          <w:iCs w:val="0"/>
          <w:caps w:val="0"/>
          <w:spacing w:val="0"/>
          <w:sz w:val="32"/>
          <w:szCs w:val="32"/>
          <w:shd w:val="clear" w:fill="FFFFFF"/>
          <w:lang w:val="en-US" w:eastAsia="zh-CN"/>
        </w:rPr>
        <w:t>展望“十五五”，我们还要持续深化在自动化岸桥、轨道桥、轮胎吊、ART等设备的新技术应用，大力推进生</w:t>
      </w:r>
      <w:r>
        <w:rPr>
          <w:rFonts w:hint="eastAsia" w:ascii="仿宋_GB2312" w:hAnsi="仿宋_GB2312" w:eastAsia="仿宋_GB2312" w:cs="仿宋_GB2312"/>
          <w:i w:val="0"/>
          <w:iCs w:val="0"/>
          <w:caps w:val="0"/>
          <w:spacing w:val="0"/>
          <w:sz w:val="32"/>
          <w:szCs w:val="32"/>
          <w:shd w:val="clear" w:fill="FFFFFF"/>
          <w:lang w:val="en-US" w:eastAsia="zh-CN"/>
        </w:rPr>
        <w:t>产运营智能化，通过科技赋能持续推进</w:t>
      </w:r>
      <w:r>
        <w:rPr>
          <w:rFonts w:hint="default" w:ascii="仿宋_GB2312" w:hAnsi="仿宋_GB2312" w:eastAsia="仿宋_GB2312" w:cs="仿宋_GB2312"/>
          <w:i w:val="0"/>
          <w:iCs w:val="0"/>
          <w:caps w:val="0"/>
          <w:spacing w:val="0"/>
          <w:sz w:val="32"/>
          <w:szCs w:val="32"/>
          <w:shd w:val="clear" w:fill="FFFFFF"/>
        </w:rPr>
        <w:t>全港集装箱码头</w:t>
      </w:r>
      <w:r>
        <w:rPr>
          <w:rFonts w:hint="eastAsia" w:ascii="仿宋_GB2312" w:hAnsi="仿宋_GB2312" w:eastAsia="仿宋_GB2312" w:cs="仿宋_GB2312"/>
          <w:i w:val="0"/>
          <w:iCs w:val="0"/>
          <w:caps w:val="0"/>
          <w:spacing w:val="0"/>
          <w:sz w:val="32"/>
          <w:szCs w:val="32"/>
          <w:shd w:val="clear" w:fill="FFFFFF"/>
          <w:lang w:val="en-US" w:eastAsia="zh-CN"/>
        </w:rPr>
        <w:t>自动化改造和提升自动化作业效率，通过新技术应用</w:t>
      </w:r>
      <w:r>
        <w:rPr>
          <w:rFonts w:hint="default" w:ascii="仿宋_GB2312" w:hAnsi="仿宋_GB2312" w:eastAsia="仿宋_GB2312" w:cs="仿宋_GB2312"/>
          <w:i w:val="0"/>
          <w:iCs w:val="0"/>
          <w:caps w:val="0"/>
          <w:spacing w:val="0"/>
          <w:sz w:val="32"/>
          <w:szCs w:val="32"/>
          <w:shd w:val="clear" w:fill="FFFFFF"/>
        </w:rPr>
        <w:t>完成散杂货、液散码头</w:t>
      </w:r>
      <w:r>
        <w:rPr>
          <w:rFonts w:hint="eastAsia" w:ascii="仿宋_GB2312" w:hAnsi="仿宋_GB2312" w:eastAsia="仿宋_GB2312" w:cs="仿宋_GB2312"/>
          <w:i w:val="0"/>
          <w:iCs w:val="0"/>
          <w:caps w:val="0"/>
          <w:spacing w:val="0"/>
          <w:sz w:val="32"/>
          <w:szCs w:val="32"/>
          <w:shd w:val="clear" w:fill="FFFFFF"/>
          <w:lang w:eastAsia="zh-CN"/>
        </w:rPr>
        <w:t>，</w:t>
      </w:r>
      <w:r>
        <w:rPr>
          <w:rFonts w:hint="eastAsia" w:ascii="仿宋_GB2312" w:hAnsi="仿宋_GB2312" w:eastAsia="仿宋_GB2312" w:cs="仿宋_GB2312"/>
          <w:i w:val="0"/>
          <w:iCs w:val="0"/>
          <w:caps w:val="0"/>
          <w:spacing w:val="0"/>
          <w:sz w:val="32"/>
          <w:szCs w:val="32"/>
          <w:shd w:val="clear" w:fill="FFFFFF"/>
          <w:lang w:val="en-US" w:eastAsia="zh-CN"/>
        </w:rPr>
        <w:t>件杂货码头</w:t>
      </w:r>
      <w:r>
        <w:rPr>
          <w:rFonts w:hint="default" w:ascii="仿宋_GB2312" w:hAnsi="仿宋_GB2312" w:eastAsia="仿宋_GB2312" w:cs="仿宋_GB2312"/>
          <w:i w:val="0"/>
          <w:iCs w:val="0"/>
          <w:caps w:val="0"/>
          <w:spacing w:val="0"/>
          <w:sz w:val="32"/>
          <w:szCs w:val="32"/>
          <w:shd w:val="clear" w:fill="FFFFFF"/>
        </w:rPr>
        <w:t>关键环节自动化改造</w:t>
      </w:r>
      <w:r>
        <w:rPr>
          <w:rFonts w:hint="eastAsia" w:ascii="仿宋_GB2312" w:hAnsi="仿宋_GB2312" w:eastAsia="仿宋_GB2312" w:cs="仿宋_GB2312"/>
          <w:i w:val="0"/>
          <w:iCs w:val="0"/>
          <w:caps w:val="0"/>
          <w:spacing w:val="0"/>
          <w:sz w:val="32"/>
          <w:szCs w:val="32"/>
          <w:shd w:val="clear" w:fill="FFFFFF"/>
          <w:lang w:eastAsia="zh-CN"/>
        </w:rPr>
        <w:t>，</w:t>
      </w:r>
      <w:r>
        <w:rPr>
          <w:rFonts w:hint="eastAsia" w:ascii="仿宋_GB2312" w:hAnsi="仿宋_GB2312" w:eastAsia="仿宋_GB2312" w:cs="仿宋_GB2312"/>
          <w:i w:val="0"/>
          <w:iCs w:val="0"/>
          <w:caps w:val="0"/>
          <w:spacing w:val="0"/>
          <w:sz w:val="32"/>
          <w:szCs w:val="32"/>
          <w:shd w:val="clear" w:fill="FFFFFF"/>
          <w:lang w:val="en-US" w:eastAsia="zh-CN"/>
        </w:rPr>
        <w:t>推动自动加解锁、散货自动化作业等关键技术攻关，巩固行业领先地位</w:t>
      </w:r>
      <w:r>
        <w:rPr>
          <w:rFonts w:hint="default" w:ascii="仿宋_GB2312" w:hAnsi="仿宋_GB2312" w:eastAsia="仿宋_GB2312" w:cs="仿宋_GB2312"/>
          <w:i w:val="0"/>
          <w:iCs w:val="0"/>
          <w:caps w:val="0"/>
          <w:spacing w:val="0"/>
          <w:sz w:val="32"/>
          <w:szCs w:val="32"/>
          <w:shd w:val="clear" w:fill="FFFFFF"/>
        </w:rPr>
        <w:t>。</w:t>
      </w:r>
    </w:p>
    <w:p w14:paraId="0780796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Times New Roman" w:eastAsia="黑体" w:cs="Times New Roman"/>
          <w:b/>
          <w:bCs/>
          <w:kern w:val="44"/>
          <w:sz w:val="28"/>
          <w:szCs w:val="28"/>
          <w:lang w:val="en-US" w:eastAsia="zh-CN" w:bidi="ar-SA"/>
        </w:rPr>
      </w:pPr>
      <w:r>
        <w:rPr>
          <w:rFonts w:hint="eastAsia" w:ascii="仿宋_GB2312" w:hAnsi="黑体" w:eastAsia="仿宋_GB2312" w:cstheme="minorBidi"/>
          <w:kern w:val="2"/>
          <w:sz w:val="32"/>
          <w:szCs w:val="44"/>
          <w:lang w:val="en-US" w:eastAsia="zh-CN" w:bidi="ar-SA"/>
        </w:rPr>
        <w:t>国内外其他港口，也都通过ICT基础设施能力提升，提高码头作业效率和效益，例如：新加坡大士港和上海洋山港区通过集成智能起重机和无人卡车等设备，提高货物处理速度和作业精度。宁波舟山港梅山码头、深圳妈湾港都陆续进行了对传统集装箱码头全流程自动化升级改造项目；广州南沙四期全自动化码头实现岸桥、轨道吊、无人驾驶智能导引车三大设备装卸船全流程作业；深圳妈湾智慧港完成散杂货码头的自动化改造。</w:t>
      </w:r>
    </w:p>
    <w:p w14:paraId="652727C0">
      <w:pPr>
        <w:pageBreakBefore w:val="0"/>
        <w:widowControl w:val="0"/>
        <w:kinsoku/>
        <w:wordWrap/>
        <w:overflowPunct/>
        <w:topLinePunct w:val="0"/>
        <w:autoSpaceDE/>
        <w:autoSpaceDN/>
        <w:bidi w:val="0"/>
        <w:adjustRightInd/>
        <w:snapToGrid/>
        <w:spacing w:line="560" w:lineRule="exact"/>
        <w:ind w:firstLine="640" w:firstLineChars="200"/>
        <w:rPr>
          <w:rFonts w:hint="eastAsia" w:ascii="仿宋_GB2312" w:hAnsi="黑体" w:eastAsia="仿宋_GB2312" w:cstheme="minorBidi"/>
          <w:kern w:val="2"/>
          <w:sz w:val="32"/>
          <w:szCs w:val="44"/>
          <w:lang w:val="en-US" w:eastAsia="zh-CN" w:bidi="ar-SA"/>
        </w:rPr>
      </w:pPr>
      <w:r>
        <w:rPr>
          <w:rFonts w:hint="eastAsia" w:ascii="仿宋_GB2312" w:hAnsi="黑体" w:eastAsia="仿宋_GB2312" w:cstheme="minorBidi"/>
          <w:kern w:val="2"/>
          <w:sz w:val="32"/>
          <w:szCs w:val="44"/>
          <w:lang w:val="en-US" w:eastAsia="zh-CN" w:bidi="ar-SA"/>
        </w:rPr>
        <w:t>2.自动化生产效率提升对生产系统服务能力和核心人才提出新要求</w:t>
      </w:r>
    </w:p>
    <w:p w14:paraId="7FADC7C1">
      <w:pPr>
        <w:pageBreakBefore w:val="0"/>
        <w:widowControl w:val="0"/>
        <w:kinsoku/>
        <w:wordWrap/>
        <w:overflowPunct/>
        <w:topLinePunct w:val="0"/>
        <w:autoSpaceDE/>
        <w:autoSpaceDN/>
        <w:bidi w:val="0"/>
        <w:adjustRightInd/>
        <w:snapToGrid/>
        <w:spacing w:line="560" w:lineRule="exact"/>
        <w:ind w:firstLine="640" w:firstLineChars="200"/>
        <w:rPr>
          <w:rFonts w:hint="eastAsia" w:ascii="仿宋_GB2312" w:hAnsi="黑体" w:eastAsia="仿宋_GB2312" w:cstheme="minorBidi"/>
          <w:kern w:val="2"/>
          <w:sz w:val="32"/>
          <w:szCs w:val="44"/>
          <w:lang w:val="en-US" w:eastAsia="zh-CN" w:bidi="ar-SA"/>
        </w:rPr>
      </w:pPr>
      <w:r>
        <w:rPr>
          <w:rFonts w:hint="eastAsia" w:ascii="仿宋_GB2312" w:hAnsi="黑体" w:eastAsia="仿宋_GB2312" w:cstheme="minorBidi"/>
          <w:kern w:val="2"/>
          <w:sz w:val="32"/>
          <w:szCs w:val="44"/>
          <w:lang w:val="en-US" w:eastAsia="zh-CN" w:bidi="ar-SA"/>
        </w:rPr>
        <w:t>“十四五”期间，集团公司建成全球首个“智慧零碳”码头，其工艺在全国各新建自动化集装箱码头、传统集装箱码头自动化改造领域被充分借鉴利用。“十五五”期间我们面临自动化水平运输作业效率提升、船舶综合调度协同能力提升、港口物流综合服务平台升级的形势任务。</w:t>
      </w:r>
    </w:p>
    <w:p w14:paraId="669D2F2E">
      <w:pPr>
        <w:pageBreakBefore w:val="0"/>
        <w:widowControl w:val="0"/>
        <w:kinsoku/>
        <w:wordWrap/>
        <w:overflowPunct/>
        <w:topLinePunct w:val="0"/>
        <w:autoSpaceDE/>
        <w:autoSpaceDN/>
        <w:bidi w:val="0"/>
        <w:adjustRightInd/>
        <w:snapToGrid/>
        <w:spacing w:line="560" w:lineRule="exact"/>
        <w:ind w:firstLine="640" w:firstLineChars="200"/>
        <w:rPr>
          <w:rFonts w:hint="eastAsia" w:ascii="仿宋_GB2312" w:hAnsi="黑体" w:eastAsia="仿宋_GB2312" w:cstheme="minorBidi"/>
          <w:kern w:val="2"/>
          <w:sz w:val="32"/>
          <w:szCs w:val="44"/>
          <w:lang w:val="en-US" w:eastAsia="zh-CN" w:bidi="ar-SA"/>
        </w:rPr>
      </w:pPr>
      <w:r>
        <w:rPr>
          <w:rFonts w:hint="eastAsia" w:ascii="仿宋_GB2312" w:hAnsi="黑体" w:eastAsia="仿宋_GB2312" w:cstheme="minorBidi"/>
          <w:kern w:val="2"/>
          <w:sz w:val="32"/>
          <w:szCs w:val="44"/>
          <w:lang w:val="en-US" w:eastAsia="zh-CN" w:bidi="ar-SA"/>
        </w:rPr>
        <w:t>3.产业上下游聚力创新，对集团公司智慧港口建设不断提质增效提出新要求</w:t>
      </w:r>
    </w:p>
    <w:p w14:paraId="533465F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1）</w:t>
      </w:r>
      <w:r>
        <w:rPr>
          <w:rFonts w:hint="default" w:ascii="仿宋_GB2312" w:eastAsia="仿宋_GB2312"/>
          <w:sz w:val="32"/>
          <w:szCs w:val="32"/>
          <w:highlight w:val="none"/>
          <w:lang w:val="en-US" w:eastAsia="zh-CN"/>
        </w:rPr>
        <w:t>统一数据管理平台搭建​</w:t>
      </w:r>
    </w:p>
    <w:p w14:paraId="0CBB6A3B">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baseline"/>
        <w:rPr>
          <w:rFonts w:hint="default" w:ascii="仿宋_GB2312" w:hAnsi="黑体" w:eastAsia="仿宋_GB2312" w:cstheme="minorBidi"/>
          <w:szCs w:val="44"/>
          <w:lang w:val="en-US" w:eastAsia="zh-CN"/>
        </w:rPr>
      </w:pPr>
      <w:r>
        <w:rPr>
          <w:rFonts w:hint="eastAsia" w:ascii="仿宋_GB2312" w:hAnsi="黑体" w:eastAsia="仿宋_GB2312" w:cstheme="minorBidi"/>
          <w:szCs w:val="44"/>
          <w:lang w:val="en-US" w:eastAsia="zh-CN"/>
        </w:rPr>
        <w:t>多年来，集团公司积极推进信息化建设，面向</w:t>
      </w:r>
      <w:r>
        <w:rPr>
          <w:rFonts w:hint="default" w:ascii="仿宋_GB2312" w:hAnsi="黑体" w:eastAsia="仿宋_GB2312" w:cstheme="minorBidi"/>
          <w:szCs w:val="44"/>
          <w:lang w:val="en-US" w:eastAsia="zh-CN"/>
        </w:rPr>
        <w:t>生产作业、物流协同、客户服务、设备管理、企业运营等多个</w:t>
      </w:r>
      <w:r>
        <w:rPr>
          <w:rFonts w:hint="eastAsia" w:ascii="仿宋_GB2312" w:hAnsi="黑体" w:eastAsia="仿宋_GB2312" w:cstheme="minorBidi"/>
          <w:szCs w:val="44"/>
          <w:lang w:val="en-US" w:eastAsia="zh-CN"/>
        </w:rPr>
        <w:t>管理条线和业务主体先后搭建了各类信息系统平台</w:t>
      </w:r>
      <w:r>
        <w:rPr>
          <w:rFonts w:hint="default" w:ascii="仿宋_GB2312" w:hAnsi="黑体" w:eastAsia="仿宋_GB2312" w:cstheme="minorBidi"/>
          <w:szCs w:val="44"/>
          <w:lang w:val="en-US" w:eastAsia="zh-CN"/>
        </w:rPr>
        <w:t>。</w:t>
      </w:r>
      <w:r>
        <w:rPr>
          <w:rFonts w:hint="eastAsia" w:ascii="仿宋_GB2312" w:hAnsi="黑体" w:eastAsia="仿宋_GB2312" w:cstheme="minorBidi"/>
          <w:szCs w:val="44"/>
          <w:lang w:val="en-US" w:eastAsia="zh-CN"/>
        </w:rPr>
        <w:t>随着</w:t>
      </w:r>
      <w:r>
        <w:rPr>
          <w:rFonts w:hint="default" w:ascii="仿宋_GB2312" w:hAnsi="黑体" w:eastAsia="仿宋_GB2312" w:cstheme="minorBidi"/>
          <w:szCs w:val="44"/>
          <w:lang w:val="en-US" w:eastAsia="zh-CN"/>
        </w:rPr>
        <w:t>业务</w:t>
      </w:r>
      <w:r>
        <w:rPr>
          <w:rFonts w:hint="eastAsia" w:ascii="仿宋_GB2312" w:hAnsi="黑体" w:eastAsia="仿宋_GB2312" w:cstheme="minorBidi"/>
          <w:szCs w:val="44"/>
          <w:lang w:val="en-US" w:eastAsia="zh-CN"/>
        </w:rPr>
        <w:t>线上化、流程一体化进程快速推进，跨系统平台、跨业务主体的数据应用需求日益增长，集团内各系统</w:t>
      </w:r>
      <w:r>
        <w:rPr>
          <w:rFonts w:hint="default" w:ascii="仿宋_GB2312" w:hAnsi="黑体" w:eastAsia="仿宋_GB2312" w:cstheme="minorBidi"/>
          <w:szCs w:val="44"/>
          <w:lang w:val="en-US" w:eastAsia="zh-CN"/>
        </w:rPr>
        <w:t>数据</w:t>
      </w:r>
      <w:r>
        <w:rPr>
          <w:rFonts w:hint="eastAsia" w:ascii="仿宋_GB2312" w:hAnsi="黑体" w:eastAsia="仿宋_GB2312" w:cstheme="minorBidi"/>
          <w:szCs w:val="44"/>
          <w:lang w:val="en-US" w:eastAsia="zh-CN"/>
        </w:rPr>
        <w:t>标准不统一、</w:t>
      </w:r>
      <w:r>
        <w:rPr>
          <w:rFonts w:hint="default" w:ascii="仿宋_GB2312" w:hAnsi="黑体" w:eastAsia="仿宋_GB2312" w:cstheme="minorBidi"/>
          <w:szCs w:val="44"/>
          <w:lang w:val="en-US" w:eastAsia="zh-CN"/>
        </w:rPr>
        <w:t>汇聚</w:t>
      </w:r>
      <w:r>
        <w:rPr>
          <w:rFonts w:hint="eastAsia" w:ascii="仿宋_GB2312" w:hAnsi="黑体" w:eastAsia="仿宋_GB2312" w:cstheme="minorBidi"/>
          <w:szCs w:val="44"/>
          <w:lang w:val="en-US" w:eastAsia="zh-CN"/>
        </w:rPr>
        <w:t>难度大</w:t>
      </w:r>
      <w:r>
        <w:rPr>
          <w:rFonts w:hint="default" w:ascii="仿宋_GB2312" w:hAnsi="黑体" w:eastAsia="仿宋_GB2312" w:cstheme="minorBidi"/>
          <w:szCs w:val="44"/>
          <w:lang w:val="en-US" w:eastAsia="zh-CN"/>
        </w:rPr>
        <w:t>、</w:t>
      </w:r>
      <w:r>
        <w:rPr>
          <w:rFonts w:hint="eastAsia" w:ascii="仿宋_GB2312" w:hAnsi="黑体" w:eastAsia="仿宋_GB2312" w:cstheme="minorBidi"/>
          <w:szCs w:val="44"/>
          <w:lang w:val="en-US" w:eastAsia="zh-CN"/>
        </w:rPr>
        <w:t>综合</w:t>
      </w:r>
      <w:r>
        <w:rPr>
          <w:rFonts w:hint="default" w:ascii="仿宋_GB2312" w:hAnsi="黑体" w:eastAsia="仿宋_GB2312" w:cstheme="minorBidi"/>
          <w:szCs w:val="44"/>
          <w:lang w:val="en-US" w:eastAsia="zh-CN"/>
        </w:rPr>
        <w:t>利用效率</w:t>
      </w:r>
      <w:r>
        <w:rPr>
          <w:rFonts w:hint="eastAsia" w:ascii="仿宋_GB2312" w:hAnsi="黑体" w:eastAsia="仿宋_GB2312" w:cstheme="minorBidi"/>
          <w:szCs w:val="44"/>
          <w:lang w:val="en-US" w:eastAsia="zh-CN"/>
        </w:rPr>
        <w:t>不高</w:t>
      </w:r>
      <w:r>
        <w:rPr>
          <w:rFonts w:hint="default" w:ascii="仿宋_GB2312" w:hAnsi="黑体" w:eastAsia="仿宋_GB2312" w:cstheme="minorBidi"/>
          <w:szCs w:val="44"/>
          <w:lang w:val="en-US" w:eastAsia="zh-CN"/>
        </w:rPr>
        <w:t>等问题</w:t>
      </w:r>
      <w:r>
        <w:rPr>
          <w:rFonts w:hint="eastAsia" w:ascii="仿宋_GB2312" w:hAnsi="黑体" w:eastAsia="仿宋_GB2312" w:cstheme="minorBidi"/>
          <w:szCs w:val="44"/>
          <w:lang w:val="en-US" w:eastAsia="zh-CN"/>
        </w:rPr>
        <w:t>逐渐显现，制约了数据要素价值释放与服务效能提升。2025年，集团公司统筹</w:t>
      </w:r>
      <w:r>
        <w:rPr>
          <w:rFonts w:hint="default" w:ascii="仿宋_GB2312" w:hAnsi="黑体" w:eastAsia="仿宋_GB2312" w:cstheme="minorBidi"/>
          <w:szCs w:val="44"/>
          <w:lang w:val="en-US" w:eastAsia="zh-CN"/>
        </w:rPr>
        <w:t>建成港口大数据管理平台，提供</w:t>
      </w:r>
      <w:r>
        <w:rPr>
          <w:rFonts w:hint="eastAsia" w:ascii="仿宋_GB2312" w:hAnsi="黑体" w:eastAsia="仿宋_GB2312" w:cstheme="minorBidi"/>
          <w:szCs w:val="44"/>
          <w:lang w:val="en-US" w:eastAsia="zh-CN"/>
        </w:rPr>
        <w:t>体系化</w:t>
      </w:r>
      <w:r>
        <w:rPr>
          <w:rFonts w:hint="default" w:ascii="仿宋_GB2312" w:hAnsi="黑体" w:eastAsia="仿宋_GB2312" w:cstheme="minorBidi"/>
          <w:szCs w:val="44"/>
          <w:lang w:val="en-US" w:eastAsia="zh-CN"/>
        </w:rPr>
        <w:t>数据治理与数据服务</w:t>
      </w:r>
      <w:r>
        <w:rPr>
          <w:rFonts w:hint="eastAsia" w:ascii="仿宋_GB2312" w:hAnsi="黑体" w:eastAsia="仿宋_GB2312" w:cstheme="minorBidi"/>
          <w:szCs w:val="44"/>
          <w:lang w:val="en-US" w:eastAsia="zh-CN"/>
        </w:rPr>
        <w:t>能力。</w:t>
      </w:r>
    </w:p>
    <w:p w14:paraId="5CD9AB6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2）</w:t>
      </w:r>
      <w:r>
        <w:rPr>
          <w:rFonts w:hint="default" w:ascii="仿宋_GB2312" w:eastAsia="仿宋_GB2312"/>
          <w:sz w:val="32"/>
          <w:szCs w:val="32"/>
          <w:highlight w:val="none"/>
          <w:lang w:val="en-US" w:eastAsia="zh-CN"/>
        </w:rPr>
        <w:t>跨界数据融合应用​</w:t>
      </w:r>
    </w:p>
    <w:p w14:paraId="31568BAA">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baseline"/>
        <w:rPr>
          <w:rFonts w:hint="default" w:ascii="仿宋_GB2312" w:hAnsi="黑体" w:eastAsia="仿宋_GB2312" w:cstheme="minorBidi"/>
          <w:szCs w:val="44"/>
          <w:lang w:val="en-US" w:eastAsia="zh-CN"/>
        </w:rPr>
      </w:pPr>
      <w:r>
        <w:rPr>
          <w:rFonts w:hint="default" w:ascii="仿宋_GB2312" w:hAnsi="黑体" w:eastAsia="仿宋_GB2312" w:cstheme="minorBidi"/>
          <w:szCs w:val="44"/>
          <w:lang w:val="en-US" w:eastAsia="zh-CN"/>
        </w:rPr>
        <w:t>当前港航物流行业数字化协同已进入跨界融合新阶段，这既为行业升级指明方向，也对集团智慧服务提出全新要求。需</w:t>
      </w:r>
      <w:r>
        <w:rPr>
          <w:rFonts w:hint="eastAsia" w:ascii="仿宋_GB2312" w:hAnsi="黑体" w:eastAsia="仿宋_GB2312" w:cstheme="minorBidi"/>
          <w:szCs w:val="44"/>
          <w:lang w:val="en-US" w:eastAsia="zh-CN"/>
        </w:rPr>
        <w:t>进一步</w:t>
      </w:r>
      <w:r>
        <w:rPr>
          <w:rFonts w:hint="default" w:ascii="仿宋_GB2312" w:hAnsi="黑体" w:eastAsia="仿宋_GB2312" w:cstheme="minorBidi"/>
          <w:szCs w:val="44"/>
          <w:lang w:val="en-US" w:eastAsia="zh-CN"/>
        </w:rPr>
        <w:t>深化与海关、海事等监管部门的数据协同，适配</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船边直提</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抵港直装</w:t>
      </w:r>
      <w:r>
        <w:rPr>
          <w:rFonts w:hint="eastAsia" w:ascii="仿宋_GB2312" w:hAnsi="黑体" w:eastAsia="仿宋_GB2312" w:cstheme="minorBidi"/>
          <w:szCs w:val="44"/>
          <w:lang w:val="en-US" w:eastAsia="zh-CN"/>
        </w:rPr>
        <w:t>”等</w:t>
      </w:r>
      <w:r>
        <w:rPr>
          <w:rFonts w:hint="default" w:ascii="仿宋_GB2312" w:hAnsi="黑体" w:eastAsia="仿宋_GB2312" w:cstheme="minorBidi"/>
          <w:szCs w:val="44"/>
          <w:lang w:val="en-US" w:eastAsia="zh-CN"/>
        </w:rPr>
        <w:t>通关模式</w:t>
      </w:r>
      <w:r>
        <w:rPr>
          <w:rFonts w:hint="eastAsia" w:ascii="仿宋_GB2312" w:hAnsi="黑体" w:eastAsia="仿宋_GB2312" w:cstheme="minorBidi"/>
          <w:szCs w:val="44"/>
          <w:lang w:val="en-US" w:eastAsia="zh-CN"/>
        </w:rPr>
        <w:t>进一步</w:t>
      </w:r>
      <w:r>
        <w:rPr>
          <w:rFonts w:hint="default" w:ascii="仿宋_GB2312" w:hAnsi="黑体" w:eastAsia="仿宋_GB2312" w:cstheme="minorBidi"/>
          <w:szCs w:val="44"/>
          <w:lang w:val="en-US" w:eastAsia="zh-CN"/>
        </w:rPr>
        <w:t>提升通关效率</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推动与产业链上下游主体的数据</w:t>
      </w:r>
      <w:r>
        <w:rPr>
          <w:rFonts w:hint="eastAsia" w:ascii="仿宋_GB2312" w:hAnsi="黑体" w:eastAsia="仿宋_GB2312" w:cstheme="minorBidi"/>
          <w:szCs w:val="44"/>
          <w:lang w:val="en-US" w:eastAsia="zh-CN"/>
        </w:rPr>
        <w:t>软联通，</w:t>
      </w:r>
      <w:r>
        <w:rPr>
          <w:rFonts w:hint="default" w:ascii="仿宋_GB2312" w:hAnsi="黑体" w:eastAsia="仿宋_GB2312" w:cstheme="minorBidi"/>
          <w:szCs w:val="44"/>
          <w:lang w:val="en-US" w:eastAsia="zh-CN"/>
        </w:rPr>
        <w:t>以数据融合升级</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津港通</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平台，打通</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港-航-陆</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协同断点，构建全货类一站式</w:t>
      </w:r>
      <w:r>
        <w:rPr>
          <w:rFonts w:hint="eastAsia" w:ascii="仿宋_GB2312" w:hAnsi="黑体" w:eastAsia="仿宋_GB2312" w:cstheme="minorBidi"/>
          <w:szCs w:val="44"/>
          <w:lang w:val="en-US" w:eastAsia="zh-CN"/>
        </w:rPr>
        <w:t>港航物流</w:t>
      </w:r>
      <w:r>
        <w:rPr>
          <w:rFonts w:hint="default" w:ascii="仿宋_GB2312" w:hAnsi="黑体" w:eastAsia="仿宋_GB2312" w:cstheme="minorBidi"/>
          <w:szCs w:val="44"/>
          <w:lang w:val="en-US" w:eastAsia="zh-CN"/>
        </w:rPr>
        <w:t>服务生态</w:t>
      </w:r>
      <w:r>
        <w:rPr>
          <w:rFonts w:hint="eastAsia" w:ascii="仿宋_GB2312" w:hAnsi="黑体" w:eastAsia="仿宋_GB2312" w:cstheme="minorBidi"/>
          <w:szCs w:val="44"/>
          <w:lang w:val="en-US" w:eastAsia="zh-CN"/>
        </w:rPr>
        <w:t>。抢抓</w:t>
      </w:r>
      <w:r>
        <w:rPr>
          <w:rFonts w:hint="default" w:ascii="仿宋_GB2312" w:hAnsi="黑体" w:eastAsia="仿宋_GB2312" w:cstheme="minorBidi"/>
          <w:szCs w:val="44"/>
          <w:lang w:val="en-US" w:eastAsia="zh-CN"/>
        </w:rPr>
        <w:t>数据要素市场化</w:t>
      </w:r>
      <w:r>
        <w:rPr>
          <w:rFonts w:hint="eastAsia" w:ascii="仿宋_GB2312" w:hAnsi="黑体" w:eastAsia="仿宋_GB2312" w:cstheme="minorBidi"/>
          <w:szCs w:val="44"/>
          <w:lang w:val="en-US" w:eastAsia="zh-CN"/>
        </w:rPr>
        <w:t>发展</w:t>
      </w:r>
      <w:r>
        <w:rPr>
          <w:rFonts w:hint="default" w:ascii="仿宋_GB2312" w:hAnsi="黑体" w:eastAsia="仿宋_GB2312" w:cstheme="minorBidi"/>
          <w:szCs w:val="44"/>
          <w:lang w:val="en-US" w:eastAsia="zh-CN"/>
        </w:rPr>
        <w:t>趋势，</w:t>
      </w:r>
      <w:r>
        <w:rPr>
          <w:rFonts w:hint="eastAsia" w:ascii="仿宋_GB2312" w:hAnsi="黑体" w:eastAsia="仿宋_GB2312" w:cstheme="minorBidi"/>
          <w:szCs w:val="44"/>
          <w:lang w:val="en-US" w:eastAsia="zh-CN"/>
        </w:rPr>
        <w:t>借助集团公共数据授权运营资质，</w:t>
      </w:r>
      <w:r>
        <w:rPr>
          <w:rFonts w:hint="default" w:ascii="仿宋_GB2312" w:hAnsi="黑体" w:eastAsia="仿宋_GB2312" w:cstheme="minorBidi"/>
          <w:szCs w:val="44"/>
          <w:lang w:val="en-US" w:eastAsia="zh-CN"/>
        </w:rPr>
        <w:t>探索</w:t>
      </w:r>
      <w:r>
        <w:rPr>
          <w:rFonts w:hint="eastAsia" w:ascii="仿宋_GB2312" w:hAnsi="黑体" w:eastAsia="仿宋_GB2312" w:cstheme="minorBidi"/>
          <w:szCs w:val="44"/>
          <w:lang w:val="en-US" w:eastAsia="zh-CN"/>
        </w:rPr>
        <w:t>“中矿港口矿业可信数据空间”“路港车辆协同数据分析应用”等</w:t>
      </w:r>
      <w:r>
        <w:rPr>
          <w:rFonts w:hint="default" w:ascii="仿宋_GB2312" w:hAnsi="黑体" w:eastAsia="仿宋_GB2312" w:cstheme="minorBidi"/>
          <w:szCs w:val="44"/>
          <w:lang w:val="en-US" w:eastAsia="zh-CN"/>
        </w:rPr>
        <w:t>公共数据与自有数据的融合应用场景</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搭建跨</w:t>
      </w:r>
      <w:r>
        <w:rPr>
          <w:rFonts w:hint="eastAsia" w:ascii="仿宋_GB2312" w:hAnsi="黑体" w:eastAsia="仿宋_GB2312" w:cstheme="minorBidi"/>
          <w:szCs w:val="44"/>
          <w:lang w:val="en-US" w:eastAsia="zh-CN"/>
        </w:rPr>
        <w:t>域</w:t>
      </w:r>
      <w:r>
        <w:rPr>
          <w:rFonts w:hint="default" w:ascii="仿宋_GB2312" w:hAnsi="黑体" w:eastAsia="仿宋_GB2312" w:cstheme="minorBidi"/>
          <w:szCs w:val="44"/>
          <w:lang w:val="en-US" w:eastAsia="zh-CN"/>
        </w:rPr>
        <w:t>数据通道。</w:t>
      </w:r>
    </w:p>
    <w:p w14:paraId="0CB2FE4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3）</w:t>
      </w:r>
      <w:r>
        <w:rPr>
          <w:rFonts w:hint="default" w:ascii="仿宋_GB2312" w:eastAsia="仿宋_GB2312"/>
          <w:sz w:val="32"/>
          <w:szCs w:val="32"/>
          <w:highlight w:val="none"/>
          <w:lang w:val="en-US" w:eastAsia="zh-CN"/>
        </w:rPr>
        <w:t>数据安全体系强化​</w:t>
      </w:r>
    </w:p>
    <w:p w14:paraId="04C55F9E">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baseline"/>
        <w:rPr>
          <w:rFonts w:hint="default" w:ascii="仿宋_GB2312" w:hAnsi="黑体" w:eastAsia="仿宋_GB2312" w:cstheme="minorBidi"/>
          <w:szCs w:val="44"/>
          <w:lang w:val="en-US" w:eastAsia="zh-CN"/>
        </w:rPr>
      </w:pPr>
      <w:r>
        <w:rPr>
          <w:rFonts w:hint="default" w:ascii="仿宋_GB2312" w:hAnsi="黑体" w:eastAsia="仿宋_GB2312" w:cstheme="minorBidi"/>
          <w:szCs w:val="44"/>
          <w:lang w:val="en-US" w:eastAsia="zh-CN"/>
        </w:rPr>
        <w:t>随着《数据安全法</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个人信息保护法</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关键信息基础设施安全保护条例》等法律法规</w:t>
      </w:r>
      <w:r>
        <w:rPr>
          <w:rFonts w:hint="eastAsia" w:ascii="仿宋_GB2312" w:hAnsi="黑体" w:eastAsia="仿宋_GB2312" w:cstheme="minorBidi"/>
          <w:szCs w:val="44"/>
          <w:lang w:val="en-US" w:eastAsia="zh-CN"/>
        </w:rPr>
        <w:t>出台</w:t>
      </w:r>
      <w:r>
        <w:rPr>
          <w:rFonts w:hint="default" w:ascii="仿宋_GB2312" w:hAnsi="黑体" w:eastAsia="仿宋_GB2312" w:cstheme="minorBidi"/>
          <w:szCs w:val="44"/>
          <w:lang w:val="en-US" w:eastAsia="zh-CN"/>
        </w:rPr>
        <w:t>，</w:t>
      </w:r>
      <w:r>
        <w:rPr>
          <w:rFonts w:hint="eastAsia" w:ascii="仿宋_GB2312" w:hAnsi="黑体" w:eastAsia="仿宋_GB2312" w:cstheme="minorBidi"/>
          <w:szCs w:val="44"/>
          <w:lang w:val="en-US" w:eastAsia="zh-CN"/>
        </w:rPr>
        <w:t>对</w:t>
      </w:r>
      <w:r>
        <w:rPr>
          <w:rFonts w:hint="default" w:ascii="仿宋_GB2312" w:hAnsi="黑体" w:eastAsia="仿宋_GB2312" w:cstheme="minorBidi"/>
          <w:szCs w:val="44"/>
          <w:lang w:val="en-US" w:eastAsia="zh-CN"/>
        </w:rPr>
        <w:t>交通运输、行业关键信息基础设施运营者</w:t>
      </w:r>
      <w:r>
        <w:rPr>
          <w:rFonts w:hint="eastAsia" w:ascii="仿宋_GB2312" w:hAnsi="黑体" w:eastAsia="仿宋_GB2312" w:cstheme="minorBidi"/>
          <w:szCs w:val="44"/>
          <w:lang w:val="en-US" w:eastAsia="zh-CN"/>
        </w:rPr>
        <w:t>提出了更高监管标准，要求集团公司加快健全集团</w:t>
      </w:r>
      <w:r>
        <w:rPr>
          <w:rFonts w:hint="default" w:ascii="仿宋_GB2312" w:hAnsi="黑体" w:eastAsia="仿宋_GB2312" w:cstheme="minorBidi"/>
          <w:szCs w:val="44"/>
          <w:lang w:val="en-US" w:eastAsia="zh-CN"/>
        </w:rPr>
        <w:t>港航</w:t>
      </w:r>
      <w:r>
        <w:rPr>
          <w:rFonts w:hint="eastAsia" w:ascii="仿宋_GB2312" w:hAnsi="黑体" w:eastAsia="仿宋_GB2312" w:cstheme="minorBidi"/>
          <w:szCs w:val="44"/>
          <w:lang w:val="en-US" w:eastAsia="zh-CN"/>
        </w:rPr>
        <w:t>数据“</w:t>
      </w:r>
      <w:r>
        <w:rPr>
          <w:rFonts w:hint="default" w:ascii="仿宋_GB2312" w:hAnsi="黑体" w:eastAsia="仿宋_GB2312" w:cstheme="minorBidi"/>
          <w:szCs w:val="44"/>
          <w:lang w:val="en-US" w:eastAsia="zh-CN"/>
        </w:rPr>
        <w:t>制度+技术+管理</w:t>
      </w:r>
      <w:r>
        <w:rPr>
          <w:rFonts w:hint="eastAsia" w:ascii="仿宋_GB2312" w:hAnsi="黑体" w:eastAsia="仿宋_GB2312" w:cstheme="minorBidi"/>
          <w:szCs w:val="44"/>
          <w:lang w:val="en-US" w:eastAsia="zh-CN"/>
        </w:rPr>
        <w:t>”</w:t>
      </w:r>
      <w:r>
        <w:rPr>
          <w:rFonts w:hint="default" w:ascii="仿宋_GB2312" w:hAnsi="黑体" w:eastAsia="仿宋_GB2312" w:cstheme="minorBidi"/>
          <w:szCs w:val="44"/>
          <w:lang w:val="en-US" w:eastAsia="zh-CN"/>
        </w:rPr>
        <w:t>三位一体</w:t>
      </w:r>
      <w:r>
        <w:rPr>
          <w:rFonts w:hint="eastAsia" w:ascii="仿宋_GB2312" w:hAnsi="黑体" w:eastAsia="仿宋_GB2312" w:cstheme="minorBidi"/>
          <w:szCs w:val="44"/>
          <w:lang w:val="en-US" w:eastAsia="zh-CN"/>
        </w:rPr>
        <w:t>安全</w:t>
      </w:r>
      <w:r>
        <w:rPr>
          <w:rFonts w:hint="default" w:ascii="仿宋_GB2312" w:hAnsi="黑体" w:eastAsia="仿宋_GB2312" w:cstheme="minorBidi"/>
          <w:szCs w:val="44"/>
          <w:lang w:val="en-US" w:eastAsia="zh-CN"/>
        </w:rPr>
        <w:t>防护体系</w:t>
      </w:r>
      <w:r>
        <w:rPr>
          <w:rFonts w:hint="eastAsia" w:ascii="仿宋_GB2312" w:hAnsi="黑体" w:eastAsia="仿宋_GB2312" w:cstheme="minorBidi"/>
          <w:szCs w:val="44"/>
          <w:lang w:val="en-US" w:eastAsia="zh-CN"/>
        </w:rPr>
        <w:t>，建立</w:t>
      </w:r>
      <w:r>
        <w:rPr>
          <w:rFonts w:hint="default" w:ascii="仿宋_GB2312" w:hAnsi="黑体" w:eastAsia="仿宋_GB2312" w:cstheme="minorBidi"/>
          <w:szCs w:val="44"/>
          <w:lang w:val="en-US" w:eastAsia="zh-CN"/>
        </w:rPr>
        <w:t>数据分类分级管理与差异化保护策略，</w:t>
      </w:r>
      <w:r>
        <w:rPr>
          <w:rFonts w:hint="eastAsia" w:ascii="仿宋_GB2312" w:hAnsi="黑体" w:eastAsia="仿宋_GB2312" w:cstheme="minorBidi"/>
          <w:szCs w:val="44"/>
          <w:lang w:val="en-US" w:eastAsia="zh-CN"/>
        </w:rPr>
        <w:t>强化</w:t>
      </w:r>
      <w:r>
        <w:rPr>
          <w:rFonts w:hint="default" w:ascii="仿宋_GB2312" w:hAnsi="黑体" w:eastAsia="仿宋_GB2312" w:cstheme="minorBidi"/>
          <w:szCs w:val="44"/>
          <w:lang w:val="en-US" w:eastAsia="zh-CN"/>
        </w:rPr>
        <w:t>数据安全技术防护，</w:t>
      </w:r>
      <w:r>
        <w:rPr>
          <w:rFonts w:hint="eastAsia" w:ascii="仿宋_GB2312" w:hAnsi="黑体" w:eastAsia="仿宋_GB2312" w:cstheme="minorBidi"/>
          <w:szCs w:val="44"/>
          <w:lang w:val="en-US" w:eastAsia="zh-CN"/>
        </w:rPr>
        <w:t>确保</w:t>
      </w:r>
      <w:r>
        <w:rPr>
          <w:rFonts w:hint="default" w:ascii="仿宋_GB2312" w:hAnsi="黑体" w:eastAsia="仿宋_GB2312" w:cstheme="minorBidi"/>
          <w:szCs w:val="44"/>
          <w:lang w:val="en-US" w:eastAsia="zh-CN"/>
        </w:rPr>
        <w:t>跨境数据传输、海量数据存储</w:t>
      </w:r>
      <w:r>
        <w:rPr>
          <w:rFonts w:hint="eastAsia" w:ascii="仿宋_GB2312" w:hAnsi="黑体" w:eastAsia="仿宋_GB2312" w:cstheme="minorBidi"/>
          <w:szCs w:val="44"/>
          <w:lang w:val="en-US" w:eastAsia="zh-CN"/>
        </w:rPr>
        <w:t>、数据共享开放</w:t>
      </w:r>
      <w:r>
        <w:rPr>
          <w:rFonts w:hint="default" w:ascii="仿宋_GB2312" w:hAnsi="黑体" w:eastAsia="仿宋_GB2312" w:cstheme="minorBidi"/>
          <w:szCs w:val="44"/>
          <w:lang w:val="en-US" w:eastAsia="zh-CN"/>
        </w:rPr>
        <w:t>的安全合规，为智慧服务提质增效保驾护航</w:t>
      </w:r>
      <w:r>
        <w:rPr>
          <w:rFonts w:hint="eastAsia" w:ascii="仿宋_GB2312" w:hAnsi="黑体" w:eastAsia="仿宋_GB2312" w:cstheme="minorBidi"/>
          <w:szCs w:val="44"/>
          <w:lang w:val="en-US" w:eastAsia="zh-CN"/>
        </w:rPr>
        <w:t>，更好地服务集团公司履行国家安全责任、保障公共利益、维护企业核心竞争力和品牌声誉</w:t>
      </w:r>
      <w:r>
        <w:rPr>
          <w:rFonts w:hint="default" w:ascii="仿宋_GB2312" w:hAnsi="黑体" w:eastAsia="仿宋_GB2312" w:cstheme="minorBidi"/>
          <w:szCs w:val="44"/>
          <w:lang w:val="en-US" w:eastAsia="zh-CN"/>
        </w:rPr>
        <w:t>。</w:t>
      </w:r>
    </w:p>
    <w:p w14:paraId="4D7E010F">
      <w:pPr>
        <w:pStyle w:val="2"/>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rPr>
          <w:rFonts w:hint="default" w:ascii="仿宋_GB2312" w:hAnsi="黑体" w:eastAsia="仿宋_GB2312" w:cstheme="minorBidi"/>
          <w:szCs w:val="44"/>
          <w:lang w:val="en-US" w:eastAsia="zh-CN"/>
        </w:rPr>
      </w:pPr>
      <w:bookmarkStart w:id="11" w:name="_Toc19179"/>
      <w:r>
        <w:rPr>
          <w:rFonts w:hint="eastAsia"/>
          <w:sz w:val="32"/>
          <w:szCs w:val="32"/>
          <w:lang w:val="en-US" w:eastAsia="zh-CN"/>
        </w:rPr>
        <w:t>四、集团公司智慧港口建设管理体制存在的主要问题及对标情况</w:t>
      </w:r>
      <w:bookmarkEnd w:id="11"/>
    </w:p>
    <w:p w14:paraId="49671FA1">
      <w:pPr>
        <w:pStyle w:val="7"/>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baseline"/>
        <w:rPr>
          <w:rFonts w:hint="default" w:ascii="仿宋_GB2312" w:hAnsi="黑体" w:eastAsia="仿宋_GB2312" w:cstheme="minorBidi"/>
          <w:kern w:val="2"/>
          <w:sz w:val="32"/>
          <w:szCs w:val="44"/>
          <w:lang w:val="en-US" w:eastAsia="zh-CN" w:bidi="ar-SA"/>
        </w:rPr>
      </w:pPr>
      <w:r>
        <w:rPr>
          <w:rFonts w:hint="eastAsia" w:ascii="仿宋_GB2312" w:hAnsi="黑体" w:eastAsia="仿宋_GB2312" w:cstheme="minorBidi"/>
          <w:kern w:val="2"/>
          <w:sz w:val="32"/>
          <w:szCs w:val="44"/>
          <w:lang w:val="en-US" w:eastAsia="zh-CN" w:bidi="ar-SA"/>
        </w:rPr>
        <w:t>面对港航业务智慧化提升对ICT基础设施能力提出新要求，自动化生产效率提升对集团生产系统服务能力和核心人才提出新要求，产业上下游聚力创新对集团公司智慧服务不断提质增效提出新要求，我们在智慧港口管理体制机制上还存在着一些问题，项目效益、完成标准、作用效果等方面还存在差距。</w:t>
      </w:r>
    </w:p>
    <w:p w14:paraId="3B05260F">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eastAsia"/>
          <w:b w:val="0"/>
          <w:bCs w:val="0"/>
          <w:lang w:val="en-US" w:eastAsia="zh-CN"/>
        </w:rPr>
      </w:pPr>
      <w:bookmarkStart w:id="12" w:name="_Toc19919"/>
      <w:r>
        <w:rPr>
          <w:rFonts w:hint="eastAsia"/>
          <w:b w:val="0"/>
          <w:bCs w:val="0"/>
          <w:lang w:val="en-US" w:eastAsia="zh-CN"/>
        </w:rPr>
        <w:t>（一）数字化管理体制未形成上下联动机制</w:t>
      </w:r>
      <w:bookmarkEnd w:id="12"/>
    </w:p>
    <w:p w14:paraId="5E3B8E98">
      <w:pPr>
        <w:pageBreakBefore w:val="0"/>
        <w:widowControl w:val="0"/>
        <w:kinsoku/>
        <w:wordWrap/>
        <w:overflowPunct/>
        <w:topLinePunct w:val="0"/>
        <w:autoSpaceDE/>
        <w:autoSpaceDN/>
        <w:bidi w:val="0"/>
        <w:adjustRightInd/>
        <w:snapToGrid/>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集团公司</w:t>
      </w:r>
      <w:r>
        <w:rPr>
          <w:rFonts w:hint="eastAsia" w:ascii="仿宋_GB2312" w:hAnsi="仿宋_GB2312" w:eastAsia="仿宋_GB2312" w:cs="仿宋_GB2312"/>
          <w:sz w:val="32"/>
          <w:szCs w:val="32"/>
        </w:rPr>
        <w:t>已成立数字化转型领导小组、数字化转型办公室、大数据管理中心等组织机构，在集团“1+4+N”管理架构下，相关部门、平台公司以及基层单位尚未设置推进数字化转型的相应岗位及与集团职能相匹配的组织机构和岗位，</w:t>
      </w:r>
      <w:r>
        <w:rPr>
          <w:rFonts w:hint="eastAsia" w:ascii="仿宋_GB2312" w:hAnsi="仿宋_GB2312" w:eastAsia="仿宋_GB2312" w:cs="仿宋_GB2312"/>
          <w:sz w:val="32"/>
          <w:szCs w:val="32"/>
          <w:lang w:val="en-US" w:eastAsia="zh-CN"/>
        </w:rPr>
        <w:t>尚未</w:t>
      </w:r>
      <w:r>
        <w:rPr>
          <w:rFonts w:hint="eastAsia" w:ascii="仿宋_GB2312" w:hAnsi="仿宋_GB2312" w:eastAsia="仿宋_GB2312" w:cs="仿宋_GB2312"/>
          <w:sz w:val="32"/>
          <w:szCs w:val="32"/>
        </w:rPr>
        <w:t>形成全级次横向融合、上下联动的合力。</w:t>
      </w:r>
    </w:p>
    <w:p w14:paraId="35343978">
      <w:pPr>
        <w:pageBreakBefore w:val="0"/>
        <w:widowControl w:val="0"/>
        <w:kinsoku/>
        <w:wordWrap/>
        <w:overflowPunct/>
        <w:topLinePunct w:val="0"/>
        <w:autoSpaceDE/>
        <w:autoSpaceDN/>
        <w:bidi w:val="0"/>
        <w:adjustRightInd/>
        <w:snapToGrid/>
        <w:spacing w:line="560" w:lineRule="exact"/>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比如：目前，股份公司信息化管理人员6人，产业公司信息化管理人员2人，物流公司信息化管理1人，资源公司信息化管理人员1人，除股份公司外，其余3个平台公司现有信息化管理人员，除去智慧港口项目管理外，还兼顾设备、能源、科技甚至综合管理工作。</w:t>
      </w:r>
      <w:r>
        <w:rPr>
          <w:rFonts w:hint="default" w:ascii="仿宋_GB2312" w:hAnsi="仿宋_GB2312" w:eastAsia="仿宋_GB2312" w:cs="仿宋_GB2312"/>
          <w:sz w:val="32"/>
          <w:szCs w:val="32"/>
          <w:lang w:val="en-US" w:eastAsia="zh-CN"/>
        </w:rPr>
        <w:t>信息公司同时承担管理职能与实施职能，既是“裁判员”又是“运动员”</w:t>
      </w:r>
      <w:r>
        <w:rPr>
          <w:rFonts w:hint="eastAsia" w:ascii="仿宋_GB2312" w:hAnsi="仿宋_GB2312" w:eastAsia="仿宋_GB2312" w:cs="仿宋_GB2312"/>
          <w:sz w:val="32"/>
          <w:szCs w:val="32"/>
          <w:lang w:val="en-US" w:eastAsia="zh-CN"/>
        </w:rPr>
        <w:t>。</w:t>
      </w:r>
    </w:p>
    <w:p w14:paraId="7C5AB56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带来的问题：</w:t>
      </w:r>
    </w:p>
    <w:p w14:paraId="3927655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集团重点项目</w:t>
      </w:r>
      <w:r>
        <w:rPr>
          <w:rFonts w:hint="default" w:ascii="仿宋_GB2312" w:hAnsi="仿宋_GB2312" w:eastAsia="仿宋_GB2312" w:cs="仿宋_GB2312"/>
          <w:sz w:val="32"/>
          <w:szCs w:val="32"/>
          <w:lang w:val="en-US" w:eastAsia="zh-CN"/>
        </w:rPr>
        <w:t>责任不清</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缺乏仲裁机制</w:t>
      </w:r>
      <w:r>
        <w:rPr>
          <w:rFonts w:hint="eastAsia" w:ascii="仿宋_GB2312" w:hAnsi="仿宋_GB2312" w:eastAsia="仿宋_GB2312" w:cs="仿宋_GB2312"/>
          <w:sz w:val="32"/>
          <w:szCs w:val="32"/>
          <w:lang w:val="en-US" w:eastAsia="zh-CN"/>
        </w:rPr>
        <w:t>，信息化项目比如JTOS项目问题需要</w:t>
      </w:r>
      <w:r>
        <w:rPr>
          <w:rFonts w:hint="default" w:ascii="仿宋_GB2312" w:hAnsi="仿宋_GB2312" w:eastAsia="仿宋_GB2312" w:cs="仿宋_GB2312"/>
          <w:sz w:val="32"/>
          <w:szCs w:val="32"/>
          <w:lang w:val="en-US" w:eastAsia="zh-CN"/>
        </w:rPr>
        <w:t>3个副总裁层级</w:t>
      </w:r>
      <w:r>
        <w:rPr>
          <w:rFonts w:hint="eastAsia" w:ascii="仿宋_GB2312" w:hAnsi="仿宋_GB2312" w:eastAsia="仿宋_GB2312" w:cs="仿宋_GB2312"/>
          <w:sz w:val="32"/>
          <w:szCs w:val="32"/>
          <w:lang w:val="en-US" w:eastAsia="zh-CN"/>
        </w:rPr>
        <w:t>协调</w:t>
      </w:r>
      <w:r>
        <w:rPr>
          <w:rFonts w:hint="default" w:ascii="仿宋_GB2312" w:hAnsi="仿宋_GB2312" w:eastAsia="仿宋_GB2312" w:cs="仿宋_GB2312"/>
          <w:sz w:val="32"/>
          <w:szCs w:val="32"/>
          <w:lang w:val="en-US" w:eastAsia="zh-CN"/>
        </w:rPr>
        <w:t>，最终依赖总裁决策，效率</w:t>
      </w:r>
      <w:r>
        <w:rPr>
          <w:rFonts w:hint="eastAsia" w:ascii="仿宋_GB2312" w:hAnsi="仿宋_GB2312" w:eastAsia="仿宋_GB2312" w:cs="仿宋_GB2312"/>
          <w:sz w:val="32"/>
          <w:szCs w:val="32"/>
          <w:lang w:val="en-US" w:eastAsia="zh-CN"/>
        </w:rPr>
        <w:t>比较</w:t>
      </w:r>
      <w:r>
        <w:rPr>
          <w:rFonts w:hint="default" w:ascii="仿宋_GB2312" w:hAnsi="仿宋_GB2312" w:eastAsia="仿宋_GB2312" w:cs="仿宋_GB2312"/>
          <w:sz w:val="32"/>
          <w:szCs w:val="32"/>
          <w:lang w:val="en-US" w:eastAsia="zh-CN"/>
        </w:rPr>
        <w:t>低</w:t>
      </w:r>
      <w:r>
        <w:rPr>
          <w:rFonts w:hint="eastAsia" w:ascii="仿宋_GB2312" w:hAnsi="仿宋_GB2312" w:eastAsia="仿宋_GB2312" w:cs="仿宋_GB2312"/>
          <w:sz w:val="32"/>
          <w:szCs w:val="32"/>
          <w:lang w:val="en-US" w:eastAsia="zh-CN"/>
        </w:rPr>
        <w:t>。除股份公司外，其余3个平台公司无法高质量组织本单位及板块内企业开展智慧港口相关工作；无法高标准对板块内企业智慧港口建设工作进行检查与考核。</w:t>
      </w:r>
    </w:p>
    <w:p w14:paraId="5710FD3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对标情况：</w:t>
      </w:r>
    </w:p>
    <w:p w14:paraId="467DCA1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宋体" w:eastAsia="仿宋_GB2312" w:cs="仿宋_GB2312"/>
          <w:color w:val="1F1F1F"/>
          <w:kern w:val="0"/>
          <w:sz w:val="31"/>
          <w:szCs w:val="31"/>
          <w:lang w:val="en-US" w:eastAsia="zh-CN" w:bidi="ar"/>
        </w:rPr>
      </w:pPr>
      <w:r>
        <w:rPr>
          <w:rFonts w:hint="eastAsia" w:ascii="仿宋_GB2312" w:hAnsi="仿宋_GB2312" w:eastAsia="仿宋_GB2312" w:cs="仿宋_GB2312"/>
          <w:i w:val="0"/>
          <w:iCs w:val="0"/>
          <w:caps w:val="0"/>
          <w:color w:val="1F2329"/>
          <w:spacing w:val="0"/>
          <w:sz w:val="32"/>
          <w:szCs w:val="32"/>
          <w:shd w:val="clear" w:fill="FFFFFF"/>
          <w:lang w:val="en-US" w:eastAsia="zh-CN"/>
        </w:rPr>
        <w:t>通过向宁波舟山港、上海港、山东港调研学习，三个兄弟港口集团在集团层面</w:t>
      </w:r>
      <w:r>
        <w:rPr>
          <w:rFonts w:hint="eastAsia" w:ascii="仿宋_GB2312" w:hAnsi="仿宋_GB2312" w:eastAsia="仿宋_GB2312" w:cs="仿宋_GB2312"/>
          <w:i w:val="0"/>
          <w:iCs w:val="0"/>
          <w:caps w:val="0"/>
          <w:color w:val="1F2329"/>
          <w:spacing w:val="0"/>
          <w:sz w:val="32"/>
          <w:szCs w:val="32"/>
          <w:shd w:val="clear" w:fill="FFFFFF"/>
        </w:rPr>
        <w:t>均</w:t>
      </w:r>
      <w:r>
        <w:rPr>
          <w:rFonts w:hint="eastAsia" w:ascii="仿宋_GB2312" w:hAnsi="仿宋_GB2312" w:eastAsia="仿宋_GB2312" w:cs="仿宋_GB2312"/>
          <w:i w:val="0"/>
          <w:iCs w:val="0"/>
          <w:caps w:val="0"/>
          <w:color w:val="1F2329"/>
          <w:spacing w:val="0"/>
          <w:sz w:val="32"/>
          <w:szCs w:val="32"/>
          <w:shd w:val="clear" w:fill="FFFFFF"/>
          <w:lang w:val="en-US" w:eastAsia="zh-CN"/>
        </w:rPr>
        <w:t>设立负责信息化数字化的一级管理部门。在此基础上，各集团随着智慧港口建设需求不断调整信息化</w:t>
      </w:r>
      <w:r>
        <w:rPr>
          <w:rFonts w:hint="eastAsia" w:ascii="仿宋_GB2312" w:hAnsi="仿宋_GB2312" w:eastAsia="仿宋_GB2312" w:cs="仿宋_GB2312"/>
          <w:i w:val="0"/>
          <w:iCs w:val="0"/>
          <w:caps w:val="0"/>
          <w:color w:val="1F2329"/>
          <w:spacing w:val="0"/>
          <w:sz w:val="32"/>
          <w:szCs w:val="32"/>
          <w:shd w:val="clear" w:fill="FFFFFF"/>
        </w:rPr>
        <w:t>管理体系，</w:t>
      </w:r>
      <w:r>
        <w:rPr>
          <w:rFonts w:hint="eastAsia" w:ascii="仿宋_GB2312" w:hAnsi="仿宋_GB2312" w:eastAsia="仿宋_GB2312" w:cs="仿宋_GB2312"/>
          <w:i w:val="0"/>
          <w:iCs w:val="0"/>
          <w:caps w:val="0"/>
          <w:color w:val="1F2329"/>
          <w:spacing w:val="0"/>
          <w:sz w:val="32"/>
          <w:szCs w:val="32"/>
          <w:shd w:val="clear" w:fill="FFFFFF"/>
          <w:lang w:val="en-US" w:eastAsia="zh-CN"/>
        </w:rPr>
        <w:t>尤其近两年，通过建立专业组织不断加强集团信息化统筹力量。例如：</w:t>
      </w:r>
      <w:r>
        <w:rPr>
          <w:rFonts w:hint="eastAsia" w:ascii="仿宋_GB2312" w:hAnsi="仿宋_GB2312" w:eastAsia="仿宋_GB2312" w:cs="仿宋_GB2312"/>
          <w:i w:val="0"/>
          <w:iCs w:val="0"/>
          <w:caps w:val="0"/>
          <w:color w:val="1F2329"/>
          <w:spacing w:val="0"/>
          <w:sz w:val="32"/>
          <w:szCs w:val="32"/>
          <w:shd w:val="clear" w:fill="FFFFFF"/>
        </w:rPr>
        <w:t>宁波</w:t>
      </w:r>
      <w:r>
        <w:rPr>
          <w:rFonts w:hint="eastAsia" w:ascii="仿宋_GB2312" w:hAnsi="仿宋_GB2312" w:eastAsia="仿宋_GB2312" w:cs="仿宋_GB2312"/>
          <w:i w:val="0"/>
          <w:iCs w:val="0"/>
          <w:caps w:val="0"/>
          <w:color w:val="1F2329"/>
          <w:spacing w:val="0"/>
          <w:sz w:val="32"/>
          <w:szCs w:val="32"/>
          <w:shd w:val="clear" w:fill="FFFFFF"/>
          <w:lang w:val="en-US" w:eastAsia="zh-CN"/>
        </w:rPr>
        <w:t>港新设港口信息中心；上海海勃数科设立专门部门负责所在集团信息化统筹工作；</w:t>
      </w:r>
      <w:r>
        <w:rPr>
          <w:rFonts w:ascii="仿宋_GB2312" w:hAnsi="宋体" w:eastAsia="仿宋_GB2312" w:cs="仿宋_GB2312"/>
          <w:color w:val="1F1F1F"/>
          <w:kern w:val="0"/>
          <w:sz w:val="31"/>
          <w:szCs w:val="31"/>
          <w:lang w:val="en-US" w:eastAsia="zh-CN" w:bidi="ar"/>
        </w:rPr>
        <w:t>山港集团</w:t>
      </w:r>
      <w:r>
        <w:rPr>
          <w:rFonts w:hint="eastAsia" w:ascii="仿宋_GB2312" w:hAnsi="宋体" w:eastAsia="仿宋_GB2312" w:cs="仿宋_GB2312"/>
          <w:color w:val="1F1F1F"/>
          <w:kern w:val="0"/>
          <w:sz w:val="31"/>
          <w:szCs w:val="31"/>
          <w:lang w:val="en-US" w:eastAsia="zh-CN" w:bidi="ar"/>
        </w:rPr>
        <w:t>新设</w:t>
      </w:r>
      <w:r>
        <w:rPr>
          <w:rFonts w:ascii="仿宋_GB2312" w:hAnsi="宋体" w:eastAsia="仿宋_GB2312" w:cs="仿宋_GB2312"/>
          <w:color w:val="1F1F1F"/>
          <w:kern w:val="0"/>
          <w:sz w:val="31"/>
          <w:szCs w:val="31"/>
          <w:lang w:val="en-US" w:eastAsia="zh-CN" w:bidi="ar"/>
        </w:rPr>
        <w:t>能力中心技术集约化执行的稳固底座</w:t>
      </w:r>
      <w:r>
        <w:rPr>
          <w:rFonts w:hint="eastAsia" w:ascii="仿宋_GB2312" w:hAnsi="宋体" w:eastAsia="仿宋_GB2312" w:cs="仿宋_GB2312"/>
          <w:color w:val="1F1F1F"/>
          <w:kern w:val="0"/>
          <w:sz w:val="31"/>
          <w:szCs w:val="31"/>
          <w:lang w:val="en-US" w:eastAsia="zh-CN" w:bidi="ar"/>
        </w:rPr>
        <w:t>；</w:t>
      </w:r>
      <w:r>
        <w:rPr>
          <w:rFonts w:ascii="仿宋_GB2312" w:hAnsi="宋体" w:eastAsia="仿宋_GB2312" w:cs="仿宋_GB2312"/>
          <w:color w:val="1F1F1F"/>
          <w:kern w:val="0"/>
          <w:sz w:val="31"/>
          <w:szCs w:val="31"/>
          <w:lang w:val="en-US" w:eastAsia="zh-CN" w:bidi="ar"/>
        </w:rPr>
        <w:t>青岛前湾集装箱码头（QQCTN）在单体码头层面组建</w:t>
      </w:r>
      <w:r>
        <w:rPr>
          <w:rFonts w:hint="eastAsia" w:ascii="仿宋_GB2312" w:hAnsi="宋体" w:eastAsia="仿宋_GB2312" w:cs="仿宋_GB2312"/>
          <w:color w:val="1F1F1F"/>
          <w:kern w:val="0"/>
          <w:sz w:val="31"/>
          <w:szCs w:val="31"/>
          <w:lang w:val="en-US" w:eastAsia="zh-CN" w:bidi="ar"/>
        </w:rPr>
        <w:t>超过 60 人的信息化团队，依托贴近业务需求的优势，聚焦于 TOS等生产核心软件的自主研发与深度迭代。</w:t>
      </w:r>
    </w:p>
    <w:p w14:paraId="0BD23BD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对标先进港口，天津港集团层面的数字化管理人员配置及大数据管理中心技术人才配置仍存在提升空间，较上海港、山东港等企业尚存约20人差距。</w:t>
      </w:r>
    </w:p>
    <w:tbl>
      <w:tblPr>
        <w:tblStyle w:val="16"/>
        <w:tblW w:w="99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56"/>
        <w:gridCol w:w="1466"/>
        <w:gridCol w:w="1107"/>
        <w:gridCol w:w="1896"/>
        <w:gridCol w:w="1333"/>
        <w:gridCol w:w="2448"/>
      </w:tblGrid>
      <w:tr w14:paraId="66B67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656" w:type="dxa"/>
            <w:tcBorders>
              <w:top w:val="single" w:color="000000" w:sz="12" w:space="0"/>
              <w:left w:val="single" w:color="000000" w:sz="12" w:space="0"/>
              <w:bottom w:val="single" w:color="000000" w:sz="12" w:space="0"/>
              <w:right w:val="single" w:color="000000" w:sz="12" w:space="0"/>
            </w:tcBorders>
            <w:shd w:val="clear" w:color="auto" w:fill="auto"/>
            <w:noWrap/>
            <w:vAlign w:val="center"/>
          </w:tcPr>
          <w:p w14:paraId="37269627">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b/>
                <w:i w:val="0"/>
                <w:iCs w:val="0"/>
                <w:color w:val="000000"/>
                <w:sz w:val="22"/>
                <w:szCs w:val="22"/>
                <w:u w:val="none"/>
              </w:rPr>
            </w:pPr>
            <w:r>
              <w:rPr>
                <w:rFonts w:hint="eastAsia" w:ascii="仿宋_GB2312" w:hAnsi="仿宋_GB2312" w:eastAsia="仿宋_GB2312" w:cs="仿宋_GB2312"/>
                <w:b/>
                <w:i w:val="0"/>
                <w:iCs w:val="0"/>
                <w:color w:val="000000"/>
                <w:kern w:val="0"/>
                <w:sz w:val="22"/>
                <w:szCs w:val="22"/>
                <w:u w:val="none"/>
                <w:lang w:val="en-US" w:eastAsia="zh-CN" w:bidi="ar"/>
              </w:rPr>
              <w:t>集团名称</w:t>
            </w:r>
          </w:p>
        </w:tc>
        <w:tc>
          <w:tcPr>
            <w:tcW w:w="1466" w:type="dxa"/>
            <w:tcBorders>
              <w:top w:val="single" w:color="000000" w:sz="12" w:space="0"/>
              <w:left w:val="single" w:color="000000" w:sz="12" w:space="0"/>
              <w:bottom w:val="single" w:color="000000" w:sz="12" w:space="0"/>
              <w:right w:val="single" w:color="000000" w:sz="4" w:space="0"/>
            </w:tcBorders>
            <w:shd w:val="clear" w:color="auto" w:fill="auto"/>
            <w:noWrap/>
            <w:vAlign w:val="center"/>
          </w:tcPr>
          <w:p w14:paraId="7F5A9369">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b/>
                <w:i w:val="0"/>
                <w:iCs w:val="0"/>
                <w:color w:val="000000"/>
                <w:sz w:val="22"/>
                <w:szCs w:val="22"/>
                <w:u w:val="none"/>
                <w:lang w:val="en-US"/>
              </w:rPr>
            </w:pPr>
            <w:r>
              <w:rPr>
                <w:rFonts w:hint="eastAsia" w:ascii="仿宋_GB2312" w:hAnsi="仿宋_GB2312" w:eastAsia="仿宋_GB2312" w:cs="仿宋_GB2312"/>
                <w:b/>
                <w:i w:val="0"/>
                <w:iCs w:val="0"/>
                <w:color w:val="000000"/>
                <w:kern w:val="0"/>
                <w:sz w:val="22"/>
                <w:szCs w:val="22"/>
                <w:u w:val="none"/>
                <w:lang w:val="en-US" w:eastAsia="zh-CN" w:bidi="ar"/>
              </w:rPr>
              <w:t>部门/中心</w:t>
            </w:r>
          </w:p>
        </w:tc>
        <w:tc>
          <w:tcPr>
            <w:tcW w:w="1107" w:type="dxa"/>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20726090">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b/>
                <w:i w:val="0"/>
                <w:iCs w:val="0"/>
                <w:color w:val="000000"/>
                <w:sz w:val="22"/>
                <w:szCs w:val="22"/>
                <w:u w:val="none"/>
              </w:rPr>
            </w:pPr>
            <w:r>
              <w:rPr>
                <w:rFonts w:hint="eastAsia" w:ascii="仿宋_GB2312" w:hAnsi="仿宋_GB2312" w:eastAsia="仿宋_GB2312" w:cs="仿宋_GB2312"/>
                <w:b/>
                <w:i w:val="0"/>
                <w:iCs w:val="0"/>
                <w:color w:val="000000"/>
                <w:kern w:val="0"/>
                <w:sz w:val="22"/>
                <w:szCs w:val="22"/>
                <w:u w:val="none"/>
                <w:lang w:val="en-US" w:eastAsia="zh-CN" w:bidi="ar"/>
              </w:rPr>
              <w:t>部门人数</w:t>
            </w:r>
          </w:p>
        </w:tc>
        <w:tc>
          <w:tcPr>
            <w:tcW w:w="1896" w:type="dxa"/>
            <w:tcBorders>
              <w:top w:val="single" w:color="000000" w:sz="12" w:space="0"/>
              <w:left w:val="single" w:color="000000" w:sz="12" w:space="0"/>
              <w:bottom w:val="single" w:color="000000" w:sz="12" w:space="0"/>
              <w:right w:val="single" w:color="000000" w:sz="4" w:space="0"/>
            </w:tcBorders>
            <w:shd w:val="clear" w:color="auto" w:fill="auto"/>
            <w:vAlign w:val="center"/>
          </w:tcPr>
          <w:p w14:paraId="1489D9EC">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b/>
                <w:i w:val="0"/>
                <w:iCs w:val="0"/>
                <w:color w:val="000000"/>
                <w:sz w:val="22"/>
                <w:szCs w:val="22"/>
                <w:u w:val="none"/>
              </w:rPr>
            </w:pPr>
            <w:r>
              <w:rPr>
                <w:rFonts w:hint="eastAsia" w:ascii="仿宋_GB2312" w:hAnsi="仿宋_GB2312" w:eastAsia="仿宋_GB2312" w:cs="仿宋_GB2312"/>
                <w:b/>
                <w:i w:val="0"/>
                <w:iCs w:val="0"/>
                <w:color w:val="000000"/>
                <w:kern w:val="0"/>
                <w:sz w:val="22"/>
                <w:szCs w:val="22"/>
                <w:u w:val="none"/>
                <w:lang w:val="en-US" w:eastAsia="zh-CN" w:bidi="ar"/>
              </w:rPr>
              <w:t>数科公司名称</w:t>
            </w:r>
          </w:p>
        </w:tc>
        <w:tc>
          <w:tcPr>
            <w:tcW w:w="1333" w:type="dxa"/>
            <w:tcBorders>
              <w:top w:val="single" w:color="000000" w:sz="12" w:space="0"/>
              <w:left w:val="single" w:color="000000" w:sz="4" w:space="0"/>
              <w:bottom w:val="single" w:color="000000" w:sz="12" w:space="0"/>
              <w:right w:val="single" w:color="000000" w:sz="4" w:space="0"/>
            </w:tcBorders>
            <w:shd w:val="clear" w:color="auto" w:fill="auto"/>
            <w:noWrap/>
            <w:vAlign w:val="center"/>
          </w:tcPr>
          <w:p w14:paraId="5AF2B85F">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b/>
                <w:i w:val="0"/>
                <w:iCs w:val="0"/>
                <w:color w:val="000000"/>
                <w:sz w:val="22"/>
                <w:szCs w:val="22"/>
                <w:u w:val="none"/>
              </w:rPr>
            </w:pPr>
            <w:r>
              <w:rPr>
                <w:rFonts w:hint="eastAsia" w:ascii="仿宋_GB2312" w:hAnsi="仿宋_GB2312" w:eastAsia="仿宋_GB2312" w:cs="仿宋_GB2312"/>
                <w:b/>
                <w:i w:val="0"/>
                <w:iCs w:val="0"/>
                <w:color w:val="000000"/>
                <w:kern w:val="0"/>
                <w:sz w:val="22"/>
                <w:szCs w:val="22"/>
                <w:u w:val="none"/>
                <w:lang w:val="en-US" w:eastAsia="zh-CN" w:bidi="ar"/>
              </w:rPr>
              <w:t>员工人数</w:t>
            </w:r>
          </w:p>
        </w:tc>
        <w:tc>
          <w:tcPr>
            <w:tcW w:w="2448" w:type="dxa"/>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235CB0B8">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b/>
                <w:i w:val="0"/>
                <w:iCs w:val="0"/>
                <w:color w:val="000000"/>
                <w:kern w:val="2"/>
                <w:sz w:val="22"/>
                <w:szCs w:val="22"/>
                <w:u w:val="none"/>
                <w:lang w:val="en-US" w:eastAsia="zh-CN" w:bidi="ar-SA"/>
              </w:rPr>
            </w:pPr>
            <w:r>
              <w:rPr>
                <w:rFonts w:hint="eastAsia" w:ascii="仿宋_GB2312" w:hAnsi="仿宋_GB2312" w:eastAsia="仿宋_GB2312" w:cs="仿宋_GB2312"/>
                <w:b/>
                <w:i w:val="0"/>
                <w:iCs w:val="0"/>
                <w:color w:val="000000"/>
                <w:kern w:val="0"/>
                <w:sz w:val="22"/>
                <w:szCs w:val="22"/>
                <w:u w:val="none"/>
                <w:lang w:val="en-US" w:eastAsia="zh-CN" w:bidi="ar"/>
              </w:rPr>
              <w:t>数科公司股东方</w:t>
            </w:r>
          </w:p>
        </w:tc>
      </w:tr>
      <w:tr w14:paraId="32F77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56" w:type="dxa"/>
            <w:vMerge w:val="restart"/>
            <w:tcBorders>
              <w:top w:val="single" w:color="000000" w:sz="12" w:space="0"/>
              <w:left w:val="single" w:color="000000" w:sz="12" w:space="0"/>
              <w:right w:val="single" w:color="000000" w:sz="12" w:space="0"/>
            </w:tcBorders>
            <w:shd w:val="clear" w:color="auto" w:fill="auto"/>
            <w:noWrap/>
            <w:vAlign w:val="center"/>
          </w:tcPr>
          <w:p w14:paraId="5CD9AFEB">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天津港集团</w:t>
            </w:r>
          </w:p>
        </w:tc>
        <w:tc>
          <w:tcPr>
            <w:tcW w:w="1466" w:type="dxa"/>
            <w:tcBorders>
              <w:top w:val="single" w:color="000000" w:sz="12" w:space="0"/>
              <w:left w:val="single" w:color="000000" w:sz="12" w:space="0"/>
              <w:bottom w:val="single" w:color="000000" w:sz="4" w:space="0"/>
              <w:right w:val="single" w:color="000000" w:sz="4" w:space="0"/>
            </w:tcBorders>
            <w:shd w:val="clear" w:color="auto" w:fill="auto"/>
            <w:vAlign w:val="center"/>
          </w:tcPr>
          <w:p w14:paraId="020F51D3">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数字化转型办公室（科工管理部合署办公）</w:t>
            </w:r>
          </w:p>
        </w:tc>
        <w:tc>
          <w:tcPr>
            <w:tcW w:w="1107" w:type="dxa"/>
            <w:tcBorders>
              <w:top w:val="single" w:color="000000" w:sz="12" w:space="0"/>
              <w:left w:val="single" w:color="000000" w:sz="4" w:space="0"/>
              <w:bottom w:val="single" w:color="000000" w:sz="4" w:space="0"/>
              <w:right w:val="single" w:color="000000" w:sz="12" w:space="0"/>
            </w:tcBorders>
            <w:shd w:val="clear" w:color="auto" w:fill="auto"/>
            <w:noWrap/>
            <w:vAlign w:val="center"/>
          </w:tcPr>
          <w:p w14:paraId="2739C052">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sz w:val="22"/>
                <w:szCs w:val="22"/>
                <w:u w:val="none"/>
                <w:lang w:val="en-US" w:eastAsia="zh-CN"/>
              </w:rPr>
            </w:pPr>
            <w:r>
              <w:rPr>
                <w:rFonts w:hint="eastAsia" w:ascii="仿宋_GB2312" w:hAnsi="仿宋_GB2312" w:eastAsia="仿宋_GB2312" w:cs="仿宋_GB2312"/>
                <w:i w:val="0"/>
                <w:iCs w:val="0"/>
                <w:color w:val="000000"/>
                <w:sz w:val="22"/>
                <w:szCs w:val="22"/>
                <w:u w:val="none"/>
                <w:lang w:val="en-US" w:eastAsia="zh-CN"/>
              </w:rPr>
              <w:t>6</w:t>
            </w:r>
          </w:p>
        </w:tc>
        <w:tc>
          <w:tcPr>
            <w:tcW w:w="1896" w:type="dxa"/>
            <w:tcBorders>
              <w:top w:val="single" w:color="000000" w:sz="12" w:space="0"/>
              <w:left w:val="single" w:color="000000" w:sz="12" w:space="0"/>
              <w:bottom w:val="single" w:color="000000" w:sz="4" w:space="0"/>
              <w:right w:val="single" w:color="000000" w:sz="4" w:space="0"/>
            </w:tcBorders>
            <w:shd w:val="clear" w:color="auto" w:fill="auto"/>
            <w:vAlign w:val="center"/>
          </w:tcPr>
          <w:p w14:paraId="7164F9F7">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信息公司（振港通信工程）</w:t>
            </w:r>
          </w:p>
        </w:tc>
        <w:tc>
          <w:tcPr>
            <w:tcW w:w="1333" w:type="dxa"/>
            <w:tcBorders>
              <w:top w:val="single" w:color="000000" w:sz="12" w:space="0"/>
              <w:left w:val="single" w:color="000000" w:sz="4" w:space="0"/>
              <w:bottom w:val="single" w:color="000000" w:sz="4" w:space="0"/>
              <w:right w:val="single" w:color="000000" w:sz="4" w:space="0"/>
            </w:tcBorders>
            <w:shd w:val="clear" w:color="auto" w:fill="auto"/>
            <w:noWrap/>
            <w:vAlign w:val="center"/>
          </w:tcPr>
          <w:p w14:paraId="482F4A6E">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lang w:val="en-US" w:eastAsia="zh-CN"/>
              </w:rPr>
            </w:pPr>
            <w:r>
              <w:rPr>
                <w:rFonts w:hint="eastAsia" w:ascii="仿宋_GB2312" w:hAnsi="仿宋_GB2312" w:eastAsia="仿宋_GB2312" w:cs="仿宋_GB2312"/>
                <w:i w:val="0"/>
                <w:iCs w:val="0"/>
                <w:color w:val="000000"/>
                <w:sz w:val="22"/>
                <w:szCs w:val="22"/>
                <w:u w:val="none"/>
                <w:lang w:val="en-US" w:eastAsia="zh-CN"/>
              </w:rPr>
              <w:t>190+</w:t>
            </w:r>
          </w:p>
        </w:tc>
        <w:tc>
          <w:tcPr>
            <w:tcW w:w="2448" w:type="dxa"/>
            <w:tcBorders>
              <w:top w:val="single" w:color="000000" w:sz="12" w:space="0"/>
              <w:left w:val="single" w:color="000000" w:sz="4" w:space="0"/>
              <w:bottom w:val="single" w:color="000000" w:sz="4" w:space="0"/>
              <w:right w:val="single" w:color="000000" w:sz="12" w:space="0"/>
            </w:tcBorders>
            <w:shd w:val="clear" w:color="auto" w:fill="auto"/>
            <w:noWrap/>
            <w:vAlign w:val="center"/>
          </w:tcPr>
          <w:p w14:paraId="0AF43F31">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天津港集团（信息公司）</w:t>
            </w:r>
          </w:p>
        </w:tc>
      </w:tr>
      <w:tr w14:paraId="4626C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56" w:type="dxa"/>
            <w:vMerge w:val="continue"/>
            <w:tcBorders>
              <w:left w:val="single" w:color="000000" w:sz="12" w:space="0"/>
              <w:bottom w:val="single" w:color="000000" w:sz="12" w:space="0"/>
              <w:right w:val="single" w:color="000000" w:sz="12" w:space="0"/>
            </w:tcBorders>
            <w:shd w:val="clear" w:color="auto" w:fill="auto"/>
            <w:noWrap/>
            <w:vAlign w:val="center"/>
          </w:tcPr>
          <w:p w14:paraId="1321C177">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rPr>
            </w:pPr>
          </w:p>
        </w:tc>
        <w:tc>
          <w:tcPr>
            <w:tcW w:w="1466" w:type="dxa"/>
            <w:tcBorders>
              <w:top w:val="single" w:color="000000" w:sz="4" w:space="0"/>
              <w:left w:val="single" w:color="000000" w:sz="12" w:space="0"/>
              <w:bottom w:val="single" w:color="000000" w:sz="12" w:space="0"/>
              <w:right w:val="single" w:color="000000" w:sz="4" w:space="0"/>
            </w:tcBorders>
            <w:shd w:val="clear" w:color="auto" w:fill="auto"/>
            <w:vAlign w:val="center"/>
          </w:tcPr>
          <w:p w14:paraId="40977B54">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lang w:val="en-US"/>
              </w:rPr>
            </w:pPr>
            <w:r>
              <w:rPr>
                <w:rFonts w:hint="eastAsia" w:ascii="仿宋_GB2312" w:hAnsi="仿宋_GB2312" w:eastAsia="仿宋_GB2312" w:cs="仿宋_GB2312"/>
                <w:i w:val="0"/>
                <w:iCs w:val="0"/>
                <w:color w:val="000000"/>
                <w:kern w:val="0"/>
                <w:sz w:val="22"/>
                <w:szCs w:val="22"/>
                <w:u w:val="none"/>
                <w:lang w:val="en-US" w:eastAsia="zh-CN" w:bidi="ar"/>
              </w:rPr>
              <w:t>大数据管理中心（在信息公司挂牌）</w:t>
            </w:r>
          </w:p>
        </w:tc>
        <w:tc>
          <w:tcPr>
            <w:tcW w:w="1107" w:type="dxa"/>
            <w:tcBorders>
              <w:top w:val="single" w:color="000000" w:sz="4" w:space="0"/>
              <w:left w:val="single" w:color="000000" w:sz="4" w:space="0"/>
              <w:bottom w:val="single" w:color="000000" w:sz="12" w:space="0"/>
              <w:right w:val="single" w:color="000000" w:sz="12" w:space="0"/>
            </w:tcBorders>
            <w:shd w:val="clear" w:color="auto" w:fill="auto"/>
            <w:noWrap/>
            <w:vAlign w:val="center"/>
          </w:tcPr>
          <w:p w14:paraId="58E38A9C">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2</w:t>
            </w:r>
          </w:p>
        </w:tc>
        <w:tc>
          <w:tcPr>
            <w:tcW w:w="1896" w:type="dxa"/>
            <w:tcBorders>
              <w:top w:val="single" w:color="000000" w:sz="4" w:space="0"/>
              <w:left w:val="single" w:color="000000" w:sz="12" w:space="0"/>
              <w:bottom w:val="single" w:color="000000" w:sz="12" w:space="0"/>
              <w:right w:val="single" w:color="000000" w:sz="4" w:space="0"/>
            </w:tcBorders>
            <w:shd w:val="clear" w:color="auto" w:fill="auto"/>
            <w:vAlign w:val="center"/>
          </w:tcPr>
          <w:p w14:paraId="48982D16">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随行科技</w:t>
            </w:r>
          </w:p>
        </w:tc>
        <w:tc>
          <w:tcPr>
            <w:tcW w:w="1333" w:type="dxa"/>
            <w:tcBorders>
              <w:top w:val="single" w:color="000000" w:sz="4" w:space="0"/>
              <w:left w:val="single" w:color="000000" w:sz="4" w:space="0"/>
              <w:bottom w:val="single" w:color="000000" w:sz="12" w:space="0"/>
              <w:right w:val="single" w:color="000000" w:sz="4" w:space="0"/>
            </w:tcBorders>
            <w:shd w:val="clear" w:color="auto" w:fill="auto"/>
            <w:noWrap/>
            <w:vAlign w:val="center"/>
          </w:tcPr>
          <w:p w14:paraId="494CB85E">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lang w:val="en-US" w:eastAsia="zh-CN"/>
              </w:rPr>
            </w:pPr>
            <w:r>
              <w:rPr>
                <w:rFonts w:hint="eastAsia" w:ascii="仿宋_GB2312" w:hAnsi="仿宋_GB2312" w:eastAsia="仿宋_GB2312" w:cs="仿宋_GB2312"/>
                <w:i w:val="0"/>
                <w:iCs w:val="0"/>
                <w:color w:val="000000"/>
                <w:sz w:val="22"/>
                <w:szCs w:val="22"/>
                <w:u w:val="none"/>
                <w:lang w:val="en-US" w:eastAsia="zh-CN"/>
              </w:rPr>
              <w:t>18</w:t>
            </w:r>
          </w:p>
        </w:tc>
        <w:tc>
          <w:tcPr>
            <w:tcW w:w="2448" w:type="dxa"/>
            <w:tcBorders>
              <w:top w:val="single" w:color="000000" w:sz="4" w:space="0"/>
              <w:left w:val="single" w:color="000000" w:sz="4" w:space="0"/>
              <w:bottom w:val="single" w:color="000000" w:sz="12" w:space="0"/>
              <w:right w:val="single" w:color="000000" w:sz="12" w:space="0"/>
            </w:tcBorders>
            <w:shd w:val="clear" w:color="auto" w:fill="auto"/>
            <w:noWrap/>
            <w:vAlign w:val="center"/>
          </w:tcPr>
          <w:p w14:paraId="68449EC7">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天津港集团</w:t>
            </w:r>
          </w:p>
        </w:tc>
      </w:tr>
      <w:tr w14:paraId="4DEBD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56" w:type="dxa"/>
            <w:tcBorders>
              <w:left w:val="single" w:color="000000" w:sz="12" w:space="0"/>
              <w:bottom w:val="single" w:color="000000" w:sz="12" w:space="0"/>
              <w:right w:val="single" w:color="000000" w:sz="12" w:space="0"/>
            </w:tcBorders>
            <w:shd w:val="clear" w:color="auto" w:fill="auto"/>
            <w:noWrap/>
            <w:vAlign w:val="center"/>
          </w:tcPr>
          <w:p w14:paraId="431496AE">
            <w:pPr>
              <w:snapToGrid w:val="0"/>
              <w:ind w:left="0" w:leftChars="0" w:right="0" w:rightChars="0" w:firstLine="0" w:firstLineChars="0"/>
              <w:jc w:val="center"/>
              <w:rPr>
                <w:rFonts w:hint="default" w:ascii="仿宋_GB2312" w:hAnsi="仿宋_GB2312" w:eastAsia="仿宋_GB2312" w:cs="仿宋_GB2312"/>
                <w:i w:val="0"/>
                <w:iCs w:val="0"/>
                <w:color w:val="000000"/>
                <w:sz w:val="22"/>
                <w:szCs w:val="22"/>
                <w:u w:val="none"/>
                <w:lang w:val="en-US" w:eastAsia="zh-CN"/>
              </w:rPr>
            </w:pPr>
            <w:r>
              <w:rPr>
                <w:rFonts w:hint="eastAsia" w:ascii="仿宋_GB2312" w:hAnsi="仿宋_GB2312" w:eastAsia="仿宋_GB2312" w:cs="仿宋_GB2312"/>
                <w:i w:val="0"/>
                <w:iCs w:val="0"/>
                <w:color w:val="000000"/>
                <w:sz w:val="22"/>
                <w:szCs w:val="22"/>
                <w:u w:val="none"/>
                <w:lang w:val="en-US" w:eastAsia="zh-CN"/>
              </w:rPr>
              <w:t>合计人数</w:t>
            </w:r>
          </w:p>
        </w:tc>
        <w:tc>
          <w:tcPr>
            <w:tcW w:w="2573" w:type="dxa"/>
            <w:gridSpan w:val="2"/>
            <w:tcBorders>
              <w:top w:val="single" w:color="000000" w:sz="4" w:space="0"/>
              <w:left w:val="single" w:color="000000" w:sz="12" w:space="0"/>
              <w:bottom w:val="single" w:color="000000" w:sz="12" w:space="0"/>
              <w:right w:val="single" w:color="000000" w:sz="12" w:space="0"/>
            </w:tcBorders>
            <w:shd w:val="clear" w:color="auto" w:fill="auto"/>
            <w:vAlign w:val="center"/>
          </w:tcPr>
          <w:p w14:paraId="4C415E1D">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8人</w:t>
            </w:r>
          </w:p>
        </w:tc>
        <w:tc>
          <w:tcPr>
            <w:tcW w:w="5677" w:type="dxa"/>
            <w:gridSpan w:val="3"/>
            <w:tcBorders>
              <w:top w:val="single" w:color="000000" w:sz="4" w:space="0"/>
              <w:left w:val="single" w:color="000000" w:sz="12" w:space="0"/>
              <w:bottom w:val="single" w:color="000000" w:sz="12" w:space="0"/>
              <w:right w:val="single" w:color="000000" w:sz="12" w:space="0"/>
            </w:tcBorders>
            <w:shd w:val="clear" w:color="auto" w:fill="auto"/>
            <w:vAlign w:val="center"/>
          </w:tcPr>
          <w:p w14:paraId="30FA1A3A">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208人</w:t>
            </w:r>
          </w:p>
        </w:tc>
      </w:tr>
      <w:tr w14:paraId="28A84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vMerge w:val="restart"/>
            <w:tcBorders>
              <w:top w:val="single" w:color="000000" w:sz="12" w:space="0"/>
              <w:left w:val="single" w:color="000000" w:sz="12" w:space="0"/>
              <w:right w:val="single" w:color="000000" w:sz="12" w:space="0"/>
            </w:tcBorders>
            <w:shd w:val="clear" w:color="auto" w:fill="auto"/>
            <w:noWrap/>
            <w:vAlign w:val="center"/>
          </w:tcPr>
          <w:p w14:paraId="2DE495F7">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山东省港集团</w:t>
            </w:r>
          </w:p>
        </w:tc>
        <w:tc>
          <w:tcPr>
            <w:tcW w:w="1466" w:type="dxa"/>
            <w:tcBorders>
              <w:top w:val="single" w:color="000000" w:sz="12" w:space="0"/>
              <w:left w:val="single" w:color="000000" w:sz="12" w:space="0"/>
              <w:bottom w:val="single" w:color="000000" w:sz="4" w:space="0"/>
              <w:right w:val="single" w:color="000000" w:sz="4" w:space="0"/>
            </w:tcBorders>
            <w:shd w:val="clear" w:color="auto" w:fill="auto"/>
            <w:vAlign w:val="center"/>
          </w:tcPr>
          <w:p w14:paraId="6FBB3B0B">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科技与数字化部</w:t>
            </w:r>
          </w:p>
        </w:tc>
        <w:tc>
          <w:tcPr>
            <w:tcW w:w="1107" w:type="dxa"/>
            <w:tcBorders>
              <w:top w:val="single" w:color="000000" w:sz="12" w:space="0"/>
              <w:left w:val="single" w:color="000000" w:sz="4" w:space="0"/>
              <w:bottom w:val="single" w:color="000000" w:sz="4" w:space="0"/>
              <w:right w:val="single" w:color="000000" w:sz="12" w:space="0"/>
            </w:tcBorders>
            <w:shd w:val="clear" w:color="auto" w:fill="auto"/>
            <w:noWrap/>
            <w:vAlign w:val="center"/>
          </w:tcPr>
          <w:p w14:paraId="1C99F0F2">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8</w:t>
            </w:r>
          </w:p>
        </w:tc>
        <w:tc>
          <w:tcPr>
            <w:tcW w:w="1896" w:type="dxa"/>
            <w:vMerge w:val="restart"/>
            <w:tcBorders>
              <w:top w:val="single" w:color="000000" w:sz="12" w:space="0"/>
              <w:left w:val="single" w:color="000000" w:sz="12" w:space="0"/>
              <w:bottom w:val="single" w:color="000000" w:sz="12" w:space="0"/>
              <w:right w:val="single" w:color="000000" w:sz="4" w:space="0"/>
            </w:tcBorders>
            <w:shd w:val="clear" w:color="auto" w:fill="auto"/>
            <w:vAlign w:val="center"/>
          </w:tcPr>
          <w:p w14:paraId="28278B74">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科技集团（青岛、日照、烟台、潍坊分公司）</w:t>
            </w:r>
          </w:p>
        </w:tc>
        <w:tc>
          <w:tcPr>
            <w:tcW w:w="1333" w:type="dxa"/>
            <w:vMerge w:val="restart"/>
            <w:tcBorders>
              <w:top w:val="single" w:color="000000" w:sz="12" w:space="0"/>
              <w:left w:val="single" w:color="000000" w:sz="4" w:space="0"/>
              <w:bottom w:val="single" w:color="000000" w:sz="12" w:space="0"/>
              <w:right w:val="single" w:color="000000" w:sz="4" w:space="0"/>
            </w:tcBorders>
            <w:shd w:val="clear" w:color="auto" w:fill="auto"/>
            <w:noWrap/>
            <w:vAlign w:val="center"/>
          </w:tcPr>
          <w:p w14:paraId="369FFEDA">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lang w:val="en-US" w:eastAsia="zh-CN"/>
              </w:rPr>
            </w:pPr>
            <w:r>
              <w:rPr>
                <w:rFonts w:hint="eastAsia" w:ascii="仿宋_GB2312" w:hAnsi="仿宋_GB2312" w:eastAsia="仿宋_GB2312" w:cs="仿宋_GB2312"/>
                <w:i w:val="0"/>
                <w:iCs w:val="0"/>
                <w:color w:val="000000"/>
                <w:sz w:val="22"/>
                <w:szCs w:val="22"/>
                <w:u w:val="none"/>
                <w:lang w:val="en-US" w:eastAsia="zh-CN"/>
              </w:rPr>
              <w:t>500+</w:t>
            </w:r>
          </w:p>
        </w:tc>
        <w:tc>
          <w:tcPr>
            <w:tcW w:w="2448" w:type="dxa"/>
            <w:vMerge w:val="restart"/>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7FD4D0C3">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山东省港口集团</w:t>
            </w:r>
          </w:p>
          <w:p w14:paraId="4636215C">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浪潮集团</w:t>
            </w:r>
          </w:p>
        </w:tc>
      </w:tr>
      <w:tr w14:paraId="0A5DB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vMerge w:val="continue"/>
            <w:tcBorders>
              <w:left w:val="single" w:color="000000" w:sz="12" w:space="0"/>
              <w:bottom w:val="single" w:color="000000" w:sz="12" w:space="0"/>
              <w:right w:val="single" w:color="000000" w:sz="12" w:space="0"/>
            </w:tcBorders>
            <w:shd w:val="clear" w:color="auto" w:fill="auto"/>
            <w:noWrap/>
            <w:vAlign w:val="center"/>
          </w:tcPr>
          <w:p w14:paraId="5F3EC3D8">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rPr>
            </w:pPr>
          </w:p>
        </w:tc>
        <w:tc>
          <w:tcPr>
            <w:tcW w:w="1466" w:type="dxa"/>
            <w:tcBorders>
              <w:top w:val="single" w:color="000000" w:sz="4" w:space="0"/>
              <w:left w:val="single" w:color="000000" w:sz="12" w:space="0"/>
              <w:bottom w:val="single" w:color="000000" w:sz="12" w:space="0"/>
              <w:right w:val="single" w:color="000000" w:sz="4" w:space="0"/>
            </w:tcBorders>
            <w:shd w:val="clear" w:color="auto" w:fill="auto"/>
            <w:vAlign w:val="center"/>
          </w:tcPr>
          <w:p w14:paraId="15C82613">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科技中心</w:t>
            </w:r>
          </w:p>
        </w:tc>
        <w:tc>
          <w:tcPr>
            <w:tcW w:w="1107" w:type="dxa"/>
            <w:tcBorders>
              <w:top w:val="single" w:color="000000" w:sz="4" w:space="0"/>
              <w:left w:val="single" w:color="000000" w:sz="4" w:space="0"/>
              <w:bottom w:val="single" w:color="000000" w:sz="12" w:space="0"/>
              <w:right w:val="single" w:color="000000" w:sz="12" w:space="0"/>
            </w:tcBorders>
            <w:shd w:val="clear" w:color="auto" w:fill="auto"/>
            <w:noWrap/>
            <w:vAlign w:val="center"/>
          </w:tcPr>
          <w:p w14:paraId="7A78449F">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16</w:t>
            </w:r>
          </w:p>
        </w:tc>
        <w:tc>
          <w:tcPr>
            <w:tcW w:w="1896" w:type="dxa"/>
            <w:vMerge w:val="continue"/>
            <w:tcBorders>
              <w:top w:val="single" w:color="000000" w:sz="12" w:space="0"/>
              <w:left w:val="single" w:color="000000" w:sz="12" w:space="0"/>
              <w:bottom w:val="single" w:color="000000" w:sz="12" w:space="0"/>
              <w:right w:val="single" w:color="000000" w:sz="4" w:space="0"/>
            </w:tcBorders>
            <w:shd w:val="clear" w:color="auto" w:fill="auto"/>
            <w:vAlign w:val="center"/>
          </w:tcPr>
          <w:p w14:paraId="655D948A">
            <w:pPr>
              <w:snapToGrid w:val="0"/>
              <w:ind w:left="0" w:leftChars="0" w:right="0" w:rightChars="0" w:firstLine="0" w:firstLineChars="0"/>
              <w:jc w:val="left"/>
              <w:rPr>
                <w:rFonts w:hint="eastAsia" w:ascii="仿宋_GB2312" w:hAnsi="仿宋_GB2312" w:eastAsia="仿宋_GB2312" w:cs="仿宋_GB2312"/>
                <w:i w:val="0"/>
                <w:iCs w:val="0"/>
                <w:color w:val="000000"/>
                <w:sz w:val="22"/>
                <w:szCs w:val="22"/>
                <w:u w:val="none"/>
              </w:rPr>
            </w:pPr>
          </w:p>
        </w:tc>
        <w:tc>
          <w:tcPr>
            <w:tcW w:w="1333" w:type="dxa"/>
            <w:vMerge w:val="continue"/>
            <w:tcBorders>
              <w:top w:val="single" w:color="000000" w:sz="12" w:space="0"/>
              <w:left w:val="single" w:color="000000" w:sz="4" w:space="0"/>
              <w:bottom w:val="single" w:color="000000" w:sz="12" w:space="0"/>
              <w:right w:val="single" w:color="000000" w:sz="4" w:space="0"/>
            </w:tcBorders>
            <w:shd w:val="clear" w:color="auto" w:fill="auto"/>
            <w:noWrap/>
            <w:vAlign w:val="center"/>
          </w:tcPr>
          <w:p w14:paraId="669B94BF">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rPr>
            </w:pPr>
          </w:p>
        </w:tc>
        <w:tc>
          <w:tcPr>
            <w:tcW w:w="2448" w:type="dxa"/>
            <w:vMerge w:val="continue"/>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2A6D646C">
            <w:pPr>
              <w:snapToGrid w:val="0"/>
              <w:ind w:left="0" w:leftChars="0" w:right="0" w:rightChars="0" w:firstLine="0" w:firstLineChars="0"/>
              <w:jc w:val="left"/>
              <w:rPr>
                <w:rFonts w:hint="eastAsia" w:ascii="仿宋_GB2312" w:hAnsi="仿宋_GB2312" w:eastAsia="仿宋_GB2312" w:cs="仿宋_GB2312"/>
                <w:i w:val="0"/>
                <w:iCs w:val="0"/>
                <w:color w:val="000000"/>
                <w:kern w:val="2"/>
                <w:sz w:val="22"/>
                <w:szCs w:val="22"/>
                <w:u w:val="none"/>
                <w:lang w:val="en-US" w:eastAsia="zh-CN" w:bidi="ar-SA"/>
              </w:rPr>
            </w:pPr>
          </w:p>
        </w:tc>
      </w:tr>
      <w:tr w14:paraId="1DA71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tcBorders>
              <w:left w:val="single" w:color="000000" w:sz="12" w:space="0"/>
              <w:bottom w:val="single" w:color="000000" w:sz="12" w:space="0"/>
              <w:right w:val="single" w:color="000000" w:sz="12" w:space="0"/>
            </w:tcBorders>
            <w:shd w:val="clear" w:color="auto" w:fill="auto"/>
            <w:noWrap/>
            <w:vAlign w:val="center"/>
          </w:tcPr>
          <w:p w14:paraId="7D185A68">
            <w:pPr>
              <w:snapToGrid w:val="0"/>
              <w:ind w:left="0" w:leftChars="0" w:right="0" w:rightChars="0" w:firstLine="0" w:firstLineChars="0"/>
              <w:jc w:val="center"/>
              <w:rPr>
                <w:rFonts w:hint="default"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sz w:val="22"/>
                <w:szCs w:val="22"/>
                <w:u w:val="none"/>
                <w:lang w:val="en-US" w:eastAsia="zh-CN"/>
              </w:rPr>
              <w:t>合计人数</w:t>
            </w:r>
          </w:p>
        </w:tc>
        <w:tc>
          <w:tcPr>
            <w:tcW w:w="2573" w:type="dxa"/>
            <w:gridSpan w:val="2"/>
            <w:tcBorders>
              <w:top w:val="single" w:color="000000" w:sz="4" w:space="0"/>
              <w:left w:val="single" w:color="000000" w:sz="12" w:space="0"/>
              <w:bottom w:val="single" w:color="000000" w:sz="12" w:space="0"/>
              <w:right w:val="single" w:color="000000" w:sz="12" w:space="0"/>
            </w:tcBorders>
            <w:shd w:val="clear" w:color="auto" w:fill="auto"/>
            <w:vAlign w:val="center"/>
          </w:tcPr>
          <w:p w14:paraId="2DAD072D">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24人</w:t>
            </w:r>
          </w:p>
        </w:tc>
        <w:tc>
          <w:tcPr>
            <w:tcW w:w="5677"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32FB0F36">
            <w:pPr>
              <w:snapToGrid w:val="0"/>
              <w:ind w:left="0" w:leftChars="0" w:right="0" w:rightChars="0" w:firstLine="0" w:firstLineChars="0"/>
              <w:jc w:val="center"/>
              <w:rPr>
                <w:rFonts w:hint="default"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2"/>
                <w:sz w:val="22"/>
                <w:szCs w:val="22"/>
                <w:u w:val="none"/>
                <w:lang w:val="en-US" w:eastAsia="zh-CN" w:bidi="ar-SA"/>
              </w:rPr>
              <w:t>500人</w:t>
            </w:r>
          </w:p>
        </w:tc>
      </w:tr>
      <w:tr w14:paraId="5E54F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vMerge w:val="restart"/>
            <w:tcBorders>
              <w:top w:val="single" w:color="000000" w:sz="12" w:space="0"/>
              <w:left w:val="single" w:color="000000" w:sz="12" w:space="0"/>
              <w:bottom w:val="single" w:color="000000" w:sz="4" w:space="0"/>
              <w:right w:val="single" w:color="000000" w:sz="12" w:space="0"/>
            </w:tcBorders>
            <w:shd w:val="clear" w:color="auto" w:fill="auto"/>
            <w:noWrap/>
            <w:vAlign w:val="center"/>
          </w:tcPr>
          <w:p w14:paraId="4BF7A536">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上港集团</w:t>
            </w:r>
          </w:p>
        </w:tc>
        <w:tc>
          <w:tcPr>
            <w:tcW w:w="1466" w:type="dxa"/>
            <w:tcBorders>
              <w:top w:val="single" w:color="000000" w:sz="12" w:space="0"/>
              <w:left w:val="single" w:color="000000" w:sz="12" w:space="0"/>
              <w:bottom w:val="single" w:color="000000" w:sz="4" w:space="0"/>
              <w:right w:val="single" w:color="000000" w:sz="4" w:space="0"/>
            </w:tcBorders>
            <w:shd w:val="clear" w:color="auto" w:fill="auto"/>
            <w:vAlign w:val="center"/>
          </w:tcPr>
          <w:p w14:paraId="2260AFA5">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科技信息部</w:t>
            </w:r>
          </w:p>
        </w:tc>
        <w:tc>
          <w:tcPr>
            <w:tcW w:w="1107" w:type="dxa"/>
            <w:tcBorders>
              <w:top w:val="single" w:color="000000" w:sz="12" w:space="0"/>
              <w:left w:val="single" w:color="000000" w:sz="4" w:space="0"/>
              <w:bottom w:val="single" w:color="000000" w:sz="4" w:space="0"/>
              <w:right w:val="single" w:color="000000" w:sz="12" w:space="0"/>
            </w:tcBorders>
            <w:shd w:val="clear" w:color="auto" w:fill="auto"/>
            <w:noWrap/>
            <w:vAlign w:val="center"/>
          </w:tcPr>
          <w:p w14:paraId="4E0CDEF5">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28</w:t>
            </w:r>
          </w:p>
        </w:tc>
        <w:tc>
          <w:tcPr>
            <w:tcW w:w="1896" w:type="dxa"/>
            <w:tcBorders>
              <w:top w:val="single" w:color="000000" w:sz="12" w:space="0"/>
              <w:left w:val="single" w:color="000000" w:sz="12" w:space="0"/>
              <w:bottom w:val="single" w:color="000000" w:sz="4" w:space="0"/>
              <w:right w:val="single" w:color="000000" w:sz="4" w:space="0"/>
            </w:tcBorders>
            <w:shd w:val="clear" w:color="auto" w:fill="auto"/>
            <w:vAlign w:val="center"/>
          </w:tcPr>
          <w:p w14:paraId="12542068">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海勃数科</w:t>
            </w:r>
          </w:p>
        </w:tc>
        <w:tc>
          <w:tcPr>
            <w:tcW w:w="1333" w:type="dxa"/>
            <w:tcBorders>
              <w:top w:val="single" w:color="000000" w:sz="12" w:space="0"/>
              <w:left w:val="single" w:color="000000" w:sz="4" w:space="0"/>
              <w:bottom w:val="single" w:color="000000" w:sz="4" w:space="0"/>
              <w:right w:val="single" w:color="000000" w:sz="4" w:space="0"/>
            </w:tcBorders>
            <w:shd w:val="clear" w:color="auto" w:fill="auto"/>
            <w:noWrap/>
            <w:vAlign w:val="center"/>
          </w:tcPr>
          <w:p w14:paraId="7ABF6B84">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350+</w:t>
            </w:r>
          </w:p>
        </w:tc>
        <w:tc>
          <w:tcPr>
            <w:tcW w:w="2448" w:type="dxa"/>
            <w:tcBorders>
              <w:top w:val="single" w:color="000000" w:sz="12" w:space="0"/>
              <w:left w:val="single" w:color="000000" w:sz="4" w:space="0"/>
              <w:bottom w:val="single" w:color="000000" w:sz="4" w:space="0"/>
              <w:right w:val="single" w:color="000000" w:sz="12" w:space="0"/>
            </w:tcBorders>
            <w:shd w:val="clear" w:color="auto" w:fill="auto"/>
            <w:noWrap/>
            <w:vAlign w:val="center"/>
          </w:tcPr>
          <w:p w14:paraId="104D954E">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上海国际港务集团上港集团（香港）公司</w:t>
            </w:r>
          </w:p>
        </w:tc>
      </w:tr>
      <w:tr w14:paraId="0435F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vMerge w:val="continue"/>
            <w:tcBorders>
              <w:top w:val="single" w:color="000000" w:sz="4" w:space="0"/>
              <w:left w:val="single" w:color="000000" w:sz="12" w:space="0"/>
              <w:bottom w:val="single" w:color="000000" w:sz="12" w:space="0"/>
              <w:right w:val="single" w:color="000000" w:sz="12" w:space="0"/>
            </w:tcBorders>
            <w:shd w:val="clear" w:color="auto" w:fill="auto"/>
            <w:noWrap/>
            <w:vAlign w:val="center"/>
          </w:tcPr>
          <w:p w14:paraId="6045365C">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rPr>
            </w:pPr>
          </w:p>
        </w:tc>
        <w:tc>
          <w:tcPr>
            <w:tcW w:w="1466" w:type="dxa"/>
            <w:tcBorders>
              <w:top w:val="single" w:color="000000" w:sz="4" w:space="0"/>
              <w:left w:val="single" w:color="000000" w:sz="12" w:space="0"/>
              <w:bottom w:val="single" w:color="000000" w:sz="12" w:space="0"/>
              <w:right w:val="single" w:color="000000" w:sz="4" w:space="0"/>
            </w:tcBorders>
            <w:shd w:val="clear" w:color="auto" w:fill="auto"/>
            <w:vAlign w:val="center"/>
          </w:tcPr>
          <w:p w14:paraId="38CD1AB7">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技术中心</w:t>
            </w:r>
          </w:p>
        </w:tc>
        <w:tc>
          <w:tcPr>
            <w:tcW w:w="1107" w:type="dxa"/>
            <w:tcBorders>
              <w:top w:val="single" w:color="000000" w:sz="4" w:space="0"/>
              <w:left w:val="single" w:color="000000" w:sz="4" w:space="0"/>
              <w:bottom w:val="single" w:color="000000" w:sz="12" w:space="0"/>
              <w:right w:val="single" w:color="000000" w:sz="12" w:space="0"/>
            </w:tcBorders>
            <w:shd w:val="clear" w:color="auto" w:fill="auto"/>
            <w:noWrap/>
            <w:vAlign w:val="center"/>
          </w:tcPr>
          <w:p w14:paraId="00B5EA81">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16</w:t>
            </w:r>
          </w:p>
        </w:tc>
        <w:tc>
          <w:tcPr>
            <w:tcW w:w="1896" w:type="dxa"/>
            <w:tcBorders>
              <w:top w:val="single" w:color="000000" w:sz="4" w:space="0"/>
              <w:left w:val="single" w:color="000000" w:sz="12" w:space="0"/>
              <w:bottom w:val="single" w:color="000000" w:sz="12" w:space="0"/>
              <w:right w:val="single" w:color="000000" w:sz="4" w:space="0"/>
            </w:tcBorders>
            <w:shd w:val="clear" w:color="auto" w:fill="auto"/>
            <w:vAlign w:val="center"/>
          </w:tcPr>
          <w:p w14:paraId="6783D1A0">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哪吒智慧科技</w:t>
            </w:r>
          </w:p>
        </w:tc>
        <w:tc>
          <w:tcPr>
            <w:tcW w:w="1333" w:type="dxa"/>
            <w:tcBorders>
              <w:top w:val="single" w:color="000000" w:sz="4" w:space="0"/>
              <w:left w:val="single" w:color="000000" w:sz="4" w:space="0"/>
              <w:bottom w:val="single" w:color="000000" w:sz="12" w:space="0"/>
              <w:right w:val="single" w:color="000000" w:sz="4" w:space="0"/>
            </w:tcBorders>
            <w:shd w:val="clear" w:color="auto" w:fill="auto"/>
            <w:noWrap/>
            <w:vAlign w:val="center"/>
          </w:tcPr>
          <w:p w14:paraId="27852FBB">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300+</w:t>
            </w:r>
          </w:p>
        </w:tc>
        <w:tc>
          <w:tcPr>
            <w:tcW w:w="2448" w:type="dxa"/>
            <w:tcBorders>
              <w:top w:val="single" w:color="000000" w:sz="4" w:space="0"/>
              <w:left w:val="single" w:color="000000" w:sz="4" w:space="0"/>
              <w:bottom w:val="single" w:color="000000" w:sz="12" w:space="0"/>
              <w:right w:val="single" w:color="000000" w:sz="12" w:space="0"/>
            </w:tcBorders>
            <w:shd w:val="clear" w:color="auto" w:fill="auto"/>
            <w:noWrap/>
            <w:vAlign w:val="center"/>
          </w:tcPr>
          <w:p w14:paraId="342F5919">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fldChar w:fldCharType="begin"/>
            </w:r>
            <w:r>
              <w:rPr>
                <w:rFonts w:hint="eastAsia" w:ascii="仿宋_GB2312" w:hAnsi="仿宋_GB2312" w:eastAsia="仿宋_GB2312" w:cs="仿宋_GB2312"/>
                <w:i w:val="0"/>
                <w:iCs w:val="0"/>
                <w:color w:val="000000"/>
                <w:kern w:val="0"/>
                <w:sz w:val="22"/>
                <w:szCs w:val="22"/>
                <w:u w:val="none"/>
                <w:lang w:val="en-US" w:eastAsia="zh-CN" w:bidi="ar"/>
              </w:rPr>
              <w:instrText xml:space="preserve"> HYPERLINK "https://www.qcc.com/firm/ec48ff26b7f0742a1e8bf9ae30b5b150.html" </w:instrText>
            </w:r>
            <w:r>
              <w:rPr>
                <w:rFonts w:hint="eastAsia" w:ascii="仿宋_GB2312" w:hAnsi="仿宋_GB2312" w:eastAsia="仿宋_GB2312" w:cs="仿宋_GB2312"/>
                <w:i w:val="0"/>
                <w:iCs w:val="0"/>
                <w:color w:val="000000"/>
                <w:kern w:val="0"/>
                <w:sz w:val="22"/>
                <w:szCs w:val="22"/>
                <w:u w:val="none"/>
                <w:lang w:val="en-US" w:eastAsia="zh-CN" w:bidi="ar"/>
              </w:rPr>
              <w:fldChar w:fldCharType="separate"/>
            </w:r>
            <w:r>
              <w:rPr>
                <w:rFonts w:hint="eastAsia" w:ascii="仿宋_GB2312" w:hAnsi="仿宋_GB2312" w:eastAsia="仿宋_GB2312" w:cs="仿宋_GB2312"/>
                <w:i w:val="0"/>
                <w:iCs w:val="0"/>
                <w:color w:val="000000"/>
                <w:kern w:val="0"/>
                <w:sz w:val="22"/>
                <w:szCs w:val="22"/>
                <w:u w:val="none"/>
                <w:lang w:val="en-US" w:eastAsia="zh-CN" w:bidi="ar"/>
              </w:rPr>
              <w:t>上海国际港务集团上海中海码头发展上海十盏信息科技海南天玑诚通科技上海振华重工集团</w:t>
            </w:r>
            <w:r>
              <w:rPr>
                <w:rFonts w:hint="eastAsia" w:ascii="仿宋_GB2312" w:hAnsi="仿宋_GB2312" w:eastAsia="仿宋_GB2312" w:cs="仿宋_GB2312"/>
                <w:i w:val="0"/>
                <w:iCs w:val="0"/>
                <w:color w:val="000000"/>
                <w:kern w:val="0"/>
                <w:sz w:val="22"/>
                <w:szCs w:val="22"/>
                <w:u w:val="none"/>
                <w:lang w:val="en-US" w:eastAsia="zh-CN" w:bidi="ar"/>
              </w:rPr>
              <w:fldChar w:fldCharType="end"/>
            </w:r>
          </w:p>
        </w:tc>
      </w:tr>
      <w:tr w14:paraId="4A74F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56" w:type="dxa"/>
            <w:tcBorders>
              <w:top w:val="single" w:color="000000" w:sz="4" w:space="0"/>
              <w:left w:val="single" w:color="000000" w:sz="12" w:space="0"/>
              <w:bottom w:val="single" w:color="000000" w:sz="12" w:space="0"/>
              <w:right w:val="single" w:color="000000" w:sz="12" w:space="0"/>
            </w:tcBorders>
            <w:shd w:val="clear" w:color="auto" w:fill="auto"/>
            <w:noWrap/>
            <w:vAlign w:val="center"/>
          </w:tcPr>
          <w:p w14:paraId="015376BC">
            <w:pPr>
              <w:snapToGrid w:val="0"/>
              <w:ind w:left="0" w:leftChars="0" w:right="0" w:rightChars="0" w:firstLine="0" w:firstLineChars="0"/>
              <w:jc w:val="center"/>
              <w:rPr>
                <w:rFonts w:hint="default" w:ascii="仿宋_GB2312" w:hAnsi="仿宋_GB2312" w:eastAsia="仿宋_GB2312" w:cs="仿宋_GB2312"/>
                <w:i w:val="0"/>
                <w:iCs w:val="0"/>
                <w:color w:val="000000"/>
                <w:sz w:val="22"/>
                <w:szCs w:val="22"/>
                <w:u w:val="none"/>
                <w:lang w:val="en-US"/>
              </w:rPr>
            </w:pPr>
            <w:r>
              <w:rPr>
                <w:rFonts w:hint="eastAsia" w:ascii="仿宋_GB2312" w:hAnsi="仿宋_GB2312" w:eastAsia="仿宋_GB2312" w:cs="仿宋_GB2312"/>
                <w:i w:val="0"/>
                <w:iCs w:val="0"/>
                <w:color w:val="000000"/>
                <w:sz w:val="22"/>
                <w:szCs w:val="22"/>
                <w:u w:val="none"/>
                <w:lang w:val="en-US" w:eastAsia="zh-CN"/>
              </w:rPr>
              <w:t>合计人数</w:t>
            </w:r>
          </w:p>
        </w:tc>
        <w:tc>
          <w:tcPr>
            <w:tcW w:w="2573" w:type="dxa"/>
            <w:gridSpan w:val="2"/>
            <w:tcBorders>
              <w:top w:val="single" w:color="000000" w:sz="4" w:space="0"/>
              <w:left w:val="single" w:color="000000" w:sz="12" w:space="0"/>
              <w:bottom w:val="single" w:color="000000" w:sz="12" w:space="0"/>
              <w:right w:val="single" w:color="000000" w:sz="12" w:space="0"/>
            </w:tcBorders>
            <w:shd w:val="clear" w:color="auto" w:fill="auto"/>
            <w:vAlign w:val="center"/>
          </w:tcPr>
          <w:p w14:paraId="260D7CFB">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44人</w:t>
            </w:r>
          </w:p>
        </w:tc>
        <w:tc>
          <w:tcPr>
            <w:tcW w:w="5677" w:type="dxa"/>
            <w:gridSpan w:val="3"/>
            <w:tcBorders>
              <w:top w:val="single" w:color="000000" w:sz="4" w:space="0"/>
              <w:left w:val="single" w:color="000000" w:sz="12" w:space="0"/>
              <w:bottom w:val="single" w:color="000000" w:sz="12" w:space="0"/>
              <w:right w:val="single" w:color="000000" w:sz="12" w:space="0"/>
            </w:tcBorders>
            <w:shd w:val="clear" w:color="auto" w:fill="auto"/>
            <w:vAlign w:val="center"/>
          </w:tcPr>
          <w:p w14:paraId="5D4BF4EE">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650人</w:t>
            </w:r>
          </w:p>
        </w:tc>
      </w:tr>
      <w:tr w14:paraId="5878E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56" w:type="dxa"/>
            <w:tcBorders>
              <w:top w:val="single" w:color="000000" w:sz="12" w:space="0"/>
              <w:left w:val="single" w:color="000000" w:sz="12" w:space="0"/>
              <w:bottom w:val="single" w:color="000000" w:sz="12" w:space="0"/>
              <w:right w:val="single" w:color="000000" w:sz="12" w:space="0"/>
            </w:tcBorders>
            <w:shd w:val="clear" w:color="auto" w:fill="auto"/>
            <w:noWrap/>
            <w:vAlign w:val="center"/>
          </w:tcPr>
          <w:p w14:paraId="2EDB0A37">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中远海运集团</w:t>
            </w:r>
          </w:p>
        </w:tc>
        <w:tc>
          <w:tcPr>
            <w:tcW w:w="1466" w:type="dxa"/>
            <w:tcBorders>
              <w:top w:val="single" w:color="000000" w:sz="12" w:space="0"/>
              <w:left w:val="single" w:color="000000" w:sz="12" w:space="0"/>
              <w:bottom w:val="single" w:color="000000" w:sz="12" w:space="0"/>
              <w:right w:val="single" w:color="000000" w:sz="4" w:space="0"/>
            </w:tcBorders>
            <w:shd w:val="clear" w:color="auto" w:fill="auto"/>
            <w:vAlign w:val="center"/>
          </w:tcPr>
          <w:p w14:paraId="0BA7909A">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智能与数字化（本部）</w:t>
            </w:r>
          </w:p>
        </w:tc>
        <w:tc>
          <w:tcPr>
            <w:tcW w:w="1107" w:type="dxa"/>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2B7D310E">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25</w:t>
            </w:r>
          </w:p>
        </w:tc>
        <w:tc>
          <w:tcPr>
            <w:tcW w:w="1896" w:type="dxa"/>
            <w:tcBorders>
              <w:top w:val="single" w:color="000000" w:sz="12" w:space="0"/>
              <w:left w:val="single" w:color="000000" w:sz="12" w:space="0"/>
              <w:bottom w:val="single" w:color="000000" w:sz="12" w:space="0"/>
              <w:right w:val="single" w:color="000000" w:sz="4" w:space="0"/>
            </w:tcBorders>
            <w:shd w:val="clear" w:color="auto" w:fill="auto"/>
            <w:vAlign w:val="center"/>
          </w:tcPr>
          <w:p w14:paraId="6EF35C09">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中远海运科技</w:t>
            </w:r>
          </w:p>
        </w:tc>
        <w:tc>
          <w:tcPr>
            <w:tcW w:w="1333" w:type="dxa"/>
            <w:tcBorders>
              <w:top w:val="single" w:color="000000" w:sz="12" w:space="0"/>
              <w:left w:val="single" w:color="000000" w:sz="4" w:space="0"/>
              <w:bottom w:val="single" w:color="000000" w:sz="12" w:space="0"/>
              <w:right w:val="single" w:color="000000" w:sz="4" w:space="0"/>
            </w:tcBorders>
            <w:shd w:val="clear" w:color="auto" w:fill="auto"/>
            <w:noWrap/>
            <w:vAlign w:val="center"/>
          </w:tcPr>
          <w:p w14:paraId="31F53991">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600+</w:t>
            </w:r>
          </w:p>
        </w:tc>
        <w:tc>
          <w:tcPr>
            <w:tcW w:w="2448" w:type="dxa"/>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64923813">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上海船舶运输科学研究所等</w:t>
            </w:r>
          </w:p>
        </w:tc>
      </w:tr>
      <w:tr w14:paraId="72D9C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tcBorders>
              <w:top w:val="single" w:color="000000" w:sz="12" w:space="0"/>
              <w:left w:val="single" w:color="000000" w:sz="12" w:space="0"/>
              <w:bottom w:val="single" w:color="000000" w:sz="12" w:space="0"/>
              <w:right w:val="single" w:color="000000" w:sz="12" w:space="0"/>
            </w:tcBorders>
            <w:shd w:val="clear" w:color="auto" w:fill="auto"/>
            <w:noWrap/>
            <w:vAlign w:val="center"/>
          </w:tcPr>
          <w:p w14:paraId="19ABE7D8">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合计人数</w:t>
            </w:r>
          </w:p>
        </w:tc>
        <w:tc>
          <w:tcPr>
            <w:tcW w:w="2573"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14:paraId="7D0ED0C9">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25人</w:t>
            </w:r>
          </w:p>
        </w:tc>
        <w:tc>
          <w:tcPr>
            <w:tcW w:w="5677"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693BB86A">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600人</w:t>
            </w:r>
          </w:p>
        </w:tc>
      </w:tr>
      <w:tr w14:paraId="24BD2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jc w:val="center"/>
        </w:trPr>
        <w:tc>
          <w:tcPr>
            <w:tcW w:w="1656" w:type="dxa"/>
            <w:vMerge w:val="restart"/>
            <w:tcBorders>
              <w:top w:val="single" w:color="000000" w:sz="12" w:space="0"/>
              <w:left w:val="single" w:color="000000" w:sz="12" w:space="0"/>
              <w:bottom w:val="single" w:color="000000" w:sz="4" w:space="0"/>
              <w:right w:val="single" w:color="000000" w:sz="12" w:space="0"/>
            </w:tcBorders>
            <w:shd w:val="clear" w:color="auto" w:fill="auto"/>
            <w:noWrap/>
            <w:vAlign w:val="center"/>
          </w:tcPr>
          <w:p w14:paraId="3543310B">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宁波港集团</w:t>
            </w:r>
          </w:p>
        </w:tc>
        <w:tc>
          <w:tcPr>
            <w:tcW w:w="1466" w:type="dxa"/>
            <w:vMerge w:val="restart"/>
            <w:tcBorders>
              <w:top w:val="single" w:color="000000" w:sz="12" w:space="0"/>
              <w:left w:val="single" w:color="000000" w:sz="12" w:space="0"/>
              <w:bottom w:val="single" w:color="000000" w:sz="12" w:space="0"/>
              <w:right w:val="single" w:color="000000" w:sz="4" w:space="0"/>
            </w:tcBorders>
            <w:shd w:val="clear" w:color="auto" w:fill="auto"/>
            <w:vAlign w:val="center"/>
          </w:tcPr>
          <w:p w14:paraId="5B431D57">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工程技术与信息管理部</w:t>
            </w:r>
          </w:p>
        </w:tc>
        <w:tc>
          <w:tcPr>
            <w:tcW w:w="1107" w:type="dxa"/>
            <w:vMerge w:val="restart"/>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1B1C3142">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8</w:t>
            </w:r>
          </w:p>
        </w:tc>
        <w:tc>
          <w:tcPr>
            <w:tcW w:w="1896" w:type="dxa"/>
            <w:tcBorders>
              <w:top w:val="single" w:color="000000" w:sz="12" w:space="0"/>
              <w:left w:val="single" w:color="000000" w:sz="12" w:space="0"/>
              <w:bottom w:val="single" w:color="000000" w:sz="4" w:space="0"/>
              <w:right w:val="single" w:color="000000" w:sz="4" w:space="0"/>
            </w:tcBorders>
            <w:shd w:val="clear" w:color="auto" w:fill="auto"/>
            <w:vAlign w:val="center"/>
          </w:tcPr>
          <w:p w14:paraId="3C2838AB">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宁波信息通信</w:t>
            </w:r>
          </w:p>
        </w:tc>
        <w:tc>
          <w:tcPr>
            <w:tcW w:w="1333" w:type="dxa"/>
            <w:tcBorders>
              <w:top w:val="single" w:color="000000" w:sz="12" w:space="0"/>
              <w:left w:val="single" w:color="000000" w:sz="4" w:space="0"/>
              <w:bottom w:val="single" w:color="000000" w:sz="4" w:space="0"/>
              <w:right w:val="single" w:color="000000" w:sz="4" w:space="0"/>
            </w:tcBorders>
            <w:shd w:val="clear" w:color="auto" w:fill="auto"/>
            <w:noWrap/>
            <w:vAlign w:val="center"/>
          </w:tcPr>
          <w:p w14:paraId="710EC373">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160+(120+)</w:t>
            </w:r>
          </w:p>
        </w:tc>
        <w:tc>
          <w:tcPr>
            <w:tcW w:w="2448" w:type="dxa"/>
            <w:tcBorders>
              <w:top w:val="single" w:color="000000" w:sz="12" w:space="0"/>
              <w:left w:val="single" w:color="000000" w:sz="4" w:space="0"/>
              <w:bottom w:val="single" w:color="000000" w:sz="4" w:space="0"/>
              <w:right w:val="single" w:color="000000" w:sz="12" w:space="0"/>
            </w:tcBorders>
            <w:shd w:val="clear" w:color="auto" w:fill="auto"/>
            <w:noWrap/>
            <w:vAlign w:val="center"/>
          </w:tcPr>
          <w:p w14:paraId="79DFC264">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宁波舟山港股份</w:t>
            </w:r>
          </w:p>
        </w:tc>
      </w:tr>
      <w:tr w14:paraId="5C8E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vMerge w:val="continue"/>
            <w:tcBorders>
              <w:top w:val="single" w:color="000000" w:sz="4" w:space="0"/>
              <w:left w:val="single" w:color="000000" w:sz="12" w:space="0"/>
              <w:bottom w:val="single" w:color="000000" w:sz="4" w:space="0"/>
              <w:right w:val="single" w:color="000000" w:sz="12" w:space="0"/>
            </w:tcBorders>
            <w:shd w:val="clear" w:color="auto" w:fill="auto"/>
            <w:noWrap/>
            <w:vAlign w:val="center"/>
          </w:tcPr>
          <w:p w14:paraId="2C409421">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rPr>
            </w:pPr>
          </w:p>
        </w:tc>
        <w:tc>
          <w:tcPr>
            <w:tcW w:w="1466" w:type="dxa"/>
            <w:vMerge w:val="continue"/>
            <w:tcBorders>
              <w:top w:val="single" w:color="000000" w:sz="12" w:space="0"/>
              <w:left w:val="single" w:color="000000" w:sz="12" w:space="0"/>
              <w:bottom w:val="single" w:color="000000" w:sz="12" w:space="0"/>
              <w:right w:val="single" w:color="000000" w:sz="4" w:space="0"/>
            </w:tcBorders>
            <w:shd w:val="clear" w:color="auto" w:fill="auto"/>
            <w:vAlign w:val="center"/>
          </w:tcPr>
          <w:p w14:paraId="08180FD2">
            <w:pPr>
              <w:snapToGrid w:val="0"/>
              <w:ind w:left="0" w:leftChars="0" w:right="0" w:rightChars="0" w:firstLine="0" w:firstLineChars="0"/>
              <w:jc w:val="left"/>
              <w:rPr>
                <w:rFonts w:hint="eastAsia" w:ascii="仿宋_GB2312" w:hAnsi="仿宋_GB2312" w:eastAsia="仿宋_GB2312" w:cs="仿宋_GB2312"/>
                <w:i w:val="0"/>
                <w:iCs w:val="0"/>
                <w:color w:val="000000"/>
                <w:sz w:val="22"/>
                <w:szCs w:val="22"/>
                <w:u w:val="none"/>
              </w:rPr>
            </w:pPr>
          </w:p>
        </w:tc>
        <w:tc>
          <w:tcPr>
            <w:tcW w:w="1107" w:type="dxa"/>
            <w:vMerge w:val="continue"/>
            <w:tcBorders>
              <w:top w:val="single" w:color="000000" w:sz="12" w:space="0"/>
              <w:left w:val="single" w:color="000000" w:sz="4" w:space="0"/>
              <w:bottom w:val="single" w:color="000000" w:sz="12" w:space="0"/>
              <w:right w:val="single" w:color="000000" w:sz="12" w:space="0"/>
            </w:tcBorders>
            <w:shd w:val="clear" w:color="auto" w:fill="auto"/>
            <w:noWrap/>
            <w:vAlign w:val="center"/>
          </w:tcPr>
          <w:p w14:paraId="46C405BE">
            <w:pPr>
              <w:snapToGrid w:val="0"/>
              <w:ind w:left="0" w:leftChars="0" w:right="0" w:rightChars="0" w:firstLine="0" w:firstLineChars="0"/>
              <w:jc w:val="center"/>
              <w:rPr>
                <w:rFonts w:hint="eastAsia" w:ascii="仿宋_GB2312" w:hAnsi="仿宋_GB2312" w:eastAsia="仿宋_GB2312" w:cs="仿宋_GB2312"/>
                <w:i w:val="0"/>
                <w:iCs w:val="0"/>
                <w:color w:val="000000"/>
                <w:sz w:val="22"/>
                <w:szCs w:val="22"/>
                <w:u w:val="none"/>
              </w:rPr>
            </w:pPr>
          </w:p>
        </w:tc>
        <w:tc>
          <w:tcPr>
            <w:tcW w:w="1896"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2D503634">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宁波智港通科技</w:t>
            </w:r>
          </w:p>
        </w:tc>
        <w:tc>
          <w:tcPr>
            <w:tcW w:w="13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77B14">
            <w:pPr>
              <w:keepNext w:val="0"/>
              <w:keepLines w:val="0"/>
              <w:widowControl/>
              <w:suppressLineNumbers w:val="0"/>
              <w:snapToGrid w:val="0"/>
              <w:ind w:left="0" w:leftChars="0" w:right="0" w:rightChars="0" w:firstLine="0" w:firstLineChars="0"/>
              <w:jc w:val="center"/>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120+</w:t>
            </w:r>
          </w:p>
        </w:tc>
        <w:tc>
          <w:tcPr>
            <w:tcW w:w="2448" w:type="dxa"/>
            <w:tcBorders>
              <w:top w:val="single" w:color="000000" w:sz="4" w:space="0"/>
              <w:left w:val="single" w:color="000000" w:sz="4" w:space="0"/>
              <w:bottom w:val="single" w:color="000000" w:sz="4" w:space="0"/>
              <w:right w:val="single" w:color="000000" w:sz="12" w:space="0"/>
            </w:tcBorders>
            <w:shd w:val="clear" w:color="auto" w:fill="auto"/>
            <w:noWrap/>
            <w:vAlign w:val="center"/>
          </w:tcPr>
          <w:p w14:paraId="01BEA303">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宁波舟山港股份</w:t>
            </w:r>
          </w:p>
          <w:p w14:paraId="1D4489BC">
            <w:pPr>
              <w:keepNext w:val="0"/>
              <w:keepLines w:val="0"/>
              <w:widowControl/>
              <w:suppressLineNumbers w:val="0"/>
              <w:snapToGrid w:val="0"/>
              <w:ind w:left="0" w:leftChars="0" w:right="0" w:rightChars="0" w:firstLine="0" w:firstLineChars="0"/>
              <w:jc w:val="left"/>
              <w:textAlignment w:val="center"/>
              <w:rPr>
                <w:rFonts w:hint="eastAsia" w:ascii="仿宋_GB2312" w:hAnsi="仿宋_GB2312" w:eastAsia="仿宋_GB2312" w:cs="仿宋_GB2312"/>
                <w:i w:val="0"/>
                <w:iCs w:val="0"/>
                <w:color w:val="000000"/>
                <w:kern w:val="2"/>
                <w:sz w:val="22"/>
                <w:szCs w:val="22"/>
                <w:u w:val="none"/>
                <w:lang w:val="en-US" w:eastAsia="zh-CN" w:bidi="ar-SA"/>
              </w:rPr>
            </w:pPr>
            <w:r>
              <w:rPr>
                <w:rFonts w:hint="eastAsia" w:ascii="仿宋_GB2312" w:hAnsi="仿宋_GB2312" w:eastAsia="仿宋_GB2312" w:cs="仿宋_GB2312"/>
                <w:i w:val="0"/>
                <w:iCs w:val="0"/>
                <w:color w:val="000000"/>
                <w:kern w:val="0"/>
                <w:sz w:val="22"/>
                <w:szCs w:val="22"/>
                <w:u w:val="none"/>
                <w:lang w:val="en-US" w:eastAsia="zh-CN" w:bidi="ar"/>
              </w:rPr>
              <w:t>杭州网新信息公司杭州海港创新股权投资</w:t>
            </w:r>
          </w:p>
        </w:tc>
      </w:tr>
      <w:tr w14:paraId="79507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56" w:type="dxa"/>
            <w:tcBorders>
              <w:top w:val="single" w:color="000000" w:sz="4" w:space="0"/>
              <w:left w:val="single" w:color="000000" w:sz="12" w:space="0"/>
              <w:bottom w:val="single" w:color="000000" w:sz="12" w:space="0"/>
              <w:right w:val="single" w:color="000000" w:sz="12" w:space="0"/>
            </w:tcBorders>
            <w:shd w:val="clear" w:color="auto" w:fill="auto"/>
            <w:noWrap/>
            <w:vAlign w:val="center"/>
          </w:tcPr>
          <w:p w14:paraId="0891E0B5">
            <w:pPr>
              <w:snapToGrid w:val="0"/>
              <w:ind w:left="0" w:leftChars="0" w:right="0" w:rightChars="0" w:firstLine="0" w:firstLineChars="0"/>
              <w:jc w:val="center"/>
              <w:rPr>
                <w:rFonts w:hint="default" w:ascii="仿宋_GB2312" w:hAnsi="仿宋_GB2312" w:eastAsia="仿宋_GB2312" w:cs="仿宋_GB2312"/>
                <w:i w:val="0"/>
                <w:iCs w:val="0"/>
                <w:color w:val="000000"/>
                <w:sz w:val="22"/>
                <w:szCs w:val="22"/>
                <w:u w:val="none"/>
                <w:lang w:val="en-US" w:eastAsia="zh-CN"/>
              </w:rPr>
            </w:pPr>
            <w:r>
              <w:rPr>
                <w:rFonts w:hint="eastAsia" w:ascii="仿宋_GB2312" w:hAnsi="仿宋_GB2312" w:eastAsia="仿宋_GB2312" w:cs="仿宋_GB2312"/>
                <w:i w:val="0"/>
                <w:iCs w:val="0"/>
                <w:color w:val="000000"/>
                <w:sz w:val="22"/>
                <w:szCs w:val="22"/>
                <w:u w:val="none"/>
                <w:lang w:val="en-US" w:eastAsia="zh-CN"/>
              </w:rPr>
              <w:t>合计人数</w:t>
            </w:r>
          </w:p>
        </w:tc>
        <w:tc>
          <w:tcPr>
            <w:tcW w:w="2573"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14:paraId="252EFD74">
            <w:pPr>
              <w:snapToGrid w:val="0"/>
              <w:ind w:left="0" w:leftChars="0" w:right="0" w:rightChars="0" w:firstLine="0" w:firstLineChars="0"/>
              <w:jc w:val="center"/>
              <w:rPr>
                <w:rFonts w:hint="default" w:ascii="仿宋_GB2312" w:hAnsi="仿宋_GB2312" w:eastAsia="仿宋_GB2312" w:cs="仿宋_GB2312"/>
                <w:i w:val="0"/>
                <w:iCs w:val="0"/>
                <w:color w:val="000000"/>
                <w:sz w:val="22"/>
                <w:szCs w:val="22"/>
                <w:u w:val="none"/>
                <w:lang w:val="en-US" w:eastAsia="zh-CN"/>
              </w:rPr>
            </w:pPr>
            <w:r>
              <w:rPr>
                <w:rFonts w:hint="eastAsia" w:ascii="仿宋_GB2312" w:hAnsi="仿宋_GB2312" w:eastAsia="仿宋_GB2312" w:cs="仿宋_GB2312"/>
                <w:i w:val="0"/>
                <w:iCs w:val="0"/>
                <w:color w:val="000000"/>
                <w:sz w:val="22"/>
                <w:szCs w:val="22"/>
                <w:u w:val="none"/>
                <w:lang w:val="en-US" w:eastAsia="zh-CN"/>
              </w:rPr>
              <w:t>8人</w:t>
            </w:r>
          </w:p>
        </w:tc>
        <w:tc>
          <w:tcPr>
            <w:tcW w:w="5677" w:type="dxa"/>
            <w:gridSpan w:val="3"/>
            <w:tcBorders>
              <w:top w:val="single" w:color="000000" w:sz="4" w:space="0"/>
              <w:left w:val="single" w:color="000000" w:sz="12" w:space="0"/>
              <w:bottom w:val="single" w:color="000000" w:sz="12" w:space="0"/>
              <w:right w:val="single" w:color="000000" w:sz="12" w:space="0"/>
            </w:tcBorders>
            <w:shd w:val="clear" w:color="auto" w:fill="auto"/>
            <w:vAlign w:val="center"/>
          </w:tcPr>
          <w:p w14:paraId="1B328670">
            <w:pPr>
              <w:keepNext w:val="0"/>
              <w:keepLines w:val="0"/>
              <w:widowControl/>
              <w:suppressLineNumbers w:val="0"/>
              <w:snapToGrid w:val="0"/>
              <w:ind w:left="0" w:leftChars="0" w:right="0" w:rightChars="0" w:firstLine="0" w:firstLineChars="0"/>
              <w:jc w:val="center"/>
              <w:textAlignment w:val="center"/>
              <w:rPr>
                <w:rFonts w:hint="default"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400人</w:t>
            </w:r>
          </w:p>
        </w:tc>
      </w:tr>
    </w:tbl>
    <w:p w14:paraId="63DEEAFD">
      <w:pPr>
        <w:pageBreakBefore w:val="0"/>
        <w:kinsoku/>
        <w:overflowPunct/>
        <w:topLinePunct w:val="0"/>
        <w:autoSpaceDE/>
        <w:autoSpaceDN/>
        <w:bidi w:val="0"/>
        <w:adjustRightInd/>
        <w:snapToGrid/>
        <w:spacing w:line="560" w:lineRule="exact"/>
        <w:rPr>
          <w:rFonts w:hint="default" w:ascii="仿宋_GB2312" w:hAnsi="仿宋_GB2312" w:eastAsia="仿宋_GB2312" w:cs="仿宋_GB2312"/>
          <w:sz w:val="32"/>
          <w:szCs w:val="32"/>
          <w:lang w:val="en-US" w:eastAsia="zh-CN"/>
        </w:rPr>
      </w:pPr>
    </w:p>
    <w:p w14:paraId="4104AC1E">
      <w:pPr>
        <w:pageBreakBefore w:val="0"/>
        <w:kinsoku/>
        <w:overflowPunct/>
        <w:topLinePunct w:val="0"/>
        <w:autoSpaceDE/>
        <w:autoSpaceDN/>
        <w:bidi w:val="0"/>
        <w:adjustRightInd/>
        <w:snapToGrid/>
        <w:spacing w:line="560" w:lineRule="exact"/>
        <w:rPr>
          <w:rFonts w:hint="default" w:ascii="仿宋_GB2312" w:hAnsi="仿宋_GB2312" w:eastAsia="仿宋_GB2312" w:cs="仿宋_GB2312"/>
          <w:sz w:val="32"/>
          <w:szCs w:val="32"/>
          <w:lang w:val="en-US" w:eastAsia="zh-CN"/>
        </w:rPr>
      </w:pPr>
    </w:p>
    <w:p w14:paraId="03DB1EF3">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eastAsia"/>
          <w:b w:val="0"/>
          <w:bCs w:val="0"/>
          <w:lang w:val="en-US" w:eastAsia="zh-CN"/>
        </w:rPr>
      </w:pPr>
      <w:bookmarkStart w:id="13" w:name="_Toc925"/>
      <w:r>
        <w:rPr>
          <w:rFonts w:hint="eastAsia"/>
          <w:b w:val="0"/>
          <w:bCs w:val="0"/>
          <w:lang w:val="en-US" w:eastAsia="zh-CN"/>
        </w:rPr>
        <w:t>（二）智慧港口考核机制有待进一步完善</w:t>
      </w:r>
      <w:bookmarkEnd w:id="13"/>
    </w:p>
    <w:p w14:paraId="12303ADC">
      <w:pPr>
        <w:adjustRightInd w:val="0"/>
        <w:snapToGrid w:val="0"/>
        <w:spacing w:line="540" w:lineRule="exact"/>
        <w:ind w:firstLine="640" w:firstLineChars="200"/>
        <w:textAlignment w:val="baseline"/>
        <w:rPr>
          <w:rFonts w:ascii="仿宋_GB2312" w:hAnsi="仿宋_GB2312" w:eastAsia="仿宋_GB2312" w:cs="仿宋_GB2312"/>
          <w:color w:val="auto"/>
          <w:sz w:val="32"/>
          <w:szCs w:val="32"/>
          <w:highlight w:val="none"/>
        </w:rPr>
      </w:pPr>
      <w:r>
        <w:rPr>
          <w:rFonts w:hint="eastAsia" w:ascii="仿宋_GB2312" w:hAnsi="仿宋_GB2312" w:eastAsia="仿宋_GB2312" w:cs="仿宋_GB2312"/>
          <w:sz w:val="32"/>
          <w:szCs w:val="32"/>
          <w:lang w:val="en-US" w:eastAsia="zh-CN"/>
        </w:rPr>
        <w:t>按照集团公司《所属企业负责人绩效考核管理指导意见》中约定的</w:t>
      </w:r>
      <w:bookmarkStart w:id="14" w:name="_Hlk149083765"/>
      <w:r>
        <w:rPr>
          <w:rFonts w:hint="eastAsia" w:ascii="仿宋_GB2312" w:hAnsi="仿宋_GB2312" w:eastAsia="仿宋_GB2312" w:cs="仿宋_GB2312"/>
          <w:color w:val="auto"/>
          <w:sz w:val="32"/>
          <w:szCs w:val="32"/>
          <w:highlight w:val="none"/>
        </w:rPr>
        <w:t>企业分级分类零基模型</w:t>
      </w:r>
      <w:bookmarkEnd w:id="14"/>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sz w:val="32"/>
          <w:szCs w:val="32"/>
          <w:lang w:val="en-US" w:eastAsia="zh-CN"/>
        </w:rPr>
        <w:t>按照利润总额、营业收入、净利润规模、资产规模、企业类型、公司治理评价结果、三型港口任务强度、员工队伍规模、人均工资、企业安全管理难度的十要素，</w:t>
      </w:r>
      <w:r>
        <w:rPr>
          <w:rFonts w:hint="eastAsia" w:ascii="仿宋_GB2312" w:hAnsi="仿宋_GB2312" w:eastAsia="仿宋_GB2312" w:cs="仿宋_GB2312"/>
          <w:color w:val="auto"/>
          <w:sz w:val="32"/>
          <w:szCs w:val="32"/>
          <w:highlight w:val="none"/>
        </w:rPr>
        <w:t>分别对产业运营平台及所属企业进行评价，辅以企业经营难度系数予以调节并形成集团公司所属企业分级分类评价分数</w:t>
      </w:r>
      <w:bookmarkStart w:id="15" w:name="_Hlk149083775"/>
      <w:r>
        <w:rPr>
          <w:rFonts w:hint="eastAsia" w:ascii="仿宋_GB2312" w:hAnsi="仿宋_GB2312" w:eastAsia="仿宋_GB2312" w:cs="仿宋_GB2312"/>
          <w:color w:val="auto"/>
          <w:sz w:val="32"/>
          <w:szCs w:val="32"/>
          <w:highlight w:val="none"/>
        </w:rPr>
        <w:t>，按照分数排名及各等级单位比例，对所属企业按照A级、B级、</w:t>
      </w:r>
      <w:r>
        <w:rPr>
          <w:rFonts w:ascii="仿宋_GB2312" w:hAnsi="仿宋_GB2312" w:eastAsia="仿宋_GB2312" w:cs="仿宋_GB2312"/>
          <w:color w:val="auto"/>
          <w:sz w:val="32"/>
          <w:szCs w:val="32"/>
          <w:highlight w:val="none"/>
        </w:rPr>
        <w:t>C</w:t>
      </w:r>
      <w:r>
        <w:rPr>
          <w:rFonts w:hint="eastAsia" w:ascii="仿宋_GB2312" w:hAnsi="仿宋_GB2312" w:eastAsia="仿宋_GB2312" w:cs="仿宋_GB2312"/>
          <w:color w:val="auto"/>
          <w:sz w:val="32"/>
          <w:szCs w:val="32"/>
          <w:highlight w:val="none"/>
        </w:rPr>
        <w:t>级和</w:t>
      </w:r>
      <w:r>
        <w:rPr>
          <w:rFonts w:ascii="仿宋_GB2312" w:hAnsi="仿宋_GB2312" w:eastAsia="仿宋_GB2312" w:cs="仿宋_GB2312"/>
          <w:color w:val="auto"/>
          <w:sz w:val="32"/>
          <w:szCs w:val="32"/>
          <w:highlight w:val="none"/>
        </w:rPr>
        <w:t>D</w:t>
      </w:r>
      <w:r>
        <w:rPr>
          <w:rFonts w:hint="eastAsia" w:ascii="仿宋_GB2312" w:hAnsi="仿宋_GB2312" w:eastAsia="仿宋_GB2312" w:cs="仿宋_GB2312"/>
          <w:color w:val="auto"/>
          <w:sz w:val="32"/>
          <w:szCs w:val="32"/>
          <w:highlight w:val="none"/>
        </w:rPr>
        <w:t>级进行划分，并确定相应的年度薪酬</w:t>
      </w:r>
      <w:bookmarkEnd w:id="15"/>
      <w:r>
        <w:rPr>
          <w:rFonts w:hint="eastAsia" w:ascii="仿宋_GB2312" w:hAnsi="仿宋_GB2312" w:eastAsia="仿宋_GB2312" w:cs="仿宋_GB2312"/>
          <w:color w:val="auto"/>
          <w:sz w:val="32"/>
          <w:szCs w:val="32"/>
          <w:highlight w:val="none"/>
        </w:rPr>
        <w:t>标准（1</w:t>
      </w:r>
      <w:r>
        <w:rPr>
          <w:rFonts w:ascii="仿宋_GB2312" w:hAnsi="仿宋_GB2312" w:eastAsia="仿宋_GB2312" w:cs="仿宋_GB2312"/>
          <w:color w:val="auto"/>
          <w:sz w:val="32"/>
          <w:szCs w:val="32"/>
          <w:highlight w:val="none"/>
        </w:rPr>
        <w:t>00</w:t>
      </w:r>
      <w:r>
        <w:rPr>
          <w:rFonts w:hint="eastAsia" w:ascii="仿宋_GB2312" w:hAnsi="仿宋_GB2312" w:eastAsia="仿宋_GB2312" w:cs="仿宋_GB2312"/>
          <w:color w:val="auto"/>
          <w:sz w:val="32"/>
          <w:szCs w:val="32"/>
          <w:highlight w:val="none"/>
        </w:rPr>
        <w:t>分）。</w:t>
      </w:r>
    </w:p>
    <w:p w14:paraId="1B845C61">
      <w:pPr>
        <w:spacing w:line="560" w:lineRule="exact"/>
        <w:jc w:val="center"/>
        <w:rPr>
          <w:rFonts w:ascii="仿宋_GB2312" w:hAnsi="仿宋_GB2312" w:eastAsia="仿宋_GB2312" w:cs="仿宋_GB2312"/>
          <w:bCs/>
          <w:color w:val="auto"/>
          <w:sz w:val="32"/>
          <w:szCs w:val="32"/>
          <w:highlight w:val="none"/>
        </w:rPr>
      </w:pPr>
      <w:r>
        <w:rPr>
          <w:rFonts w:hint="eastAsia" w:ascii="仿宋_GB2312" w:hAnsi="仿宋_GB2312" w:eastAsia="仿宋_GB2312" w:cs="仿宋_GB2312"/>
          <w:bCs/>
          <w:color w:val="auto"/>
          <w:sz w:val="32"/>
          <w:szCs w:val="32"/>
          <w:highlight w:val="none"/>
        </w:rPr>
        <w:t>各级别单位数量分档规则</w:t>
      </w:r>
    </w:p>
    <w:tbl>
      <w:tblPr>
        <w:tblStyle w:val="16"/>
        <w:tblW w:w="4998"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263"/>
        <w:gridCol w:w="2265"/>
        <w:gridCol w:w="2265"/>
      </w:tblGrid>
      <w:tr w14:paraId="3B241B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49" w:type="pct"/>
            <w:noWrap w:val="0"/>
            <w:vAlign w:val="center"/>
          </w:tcPr>
          <w:p w14:paraId="30953F62">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A级</w:t>
            </w:r>
          </w:p>
        </w:tc>
        <w:tc>
          <w:tcPr>
            <w:tcW w:w="1249" w:type="pct"/>
            <w:noWrap w:val="0"/>
            <w:vAlign w:val="center"/>
          </w:tcPr>
          <w:p w14:paraId="39DF23C2">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B级</w:t>
            </w:r>
          </w:p>
        </w:tc>
        <w:tc>
          <w:tcPr>
            <w:tcW w:w="1250" w:type="pct"/>
            <w:noWrap w:val="0"/>
            <w:vAlign w:val="center"/>
          </w:tcPr>
          <w:p w14:paraId="545D06D1">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C级</w:t>
            </w:r>
          </w:p>
        </w:tc>
        <w:tc>
          <w:tcPr>
            <w:tcW w:w="1250" w:type="pct"/>
            <w:noWrap w:val="0"/>
            <w:vAlign w:val="center"/>
          </w:tcPr>
          <w:p w14:paraId="514339DE">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D级</w:t>
            </w:r>
          </w:p>
        </w:tc>
      </w:tr>
      <w:tr w14:paraId="30A13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249" w:type="pct"/>
            <w:noWrap w:val="0"/>
            <w:vAlign w:val="center"/>
          </w:tcPr>
          <w:p w14:paraId="17F02E3B">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不超15%</w:t>
            </w:r>
          </w:p>
        </w:tc>
        <w:tc>
          <w:tcPr>
            <w:tcW w:w="1249" w:type="pct"/>
            <w:noWrap w:val="0"/>
            <w:vAlign w:val="center"/>
          </w:tcPr>
          <w:p w14:paraId="52E973BD">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不超55%</w:t>
            </w:r>
          </w:p>
        </w:tc>
        <w:tc>
          <w:tcPr>
            <w:tcW w:w="1250" w:type="pct"/>
            <w:noWrap w:val="0"/>
            <w:vAlign w:val="center"/>
          </w:tcPr>
          <w:p w14:paraId="632C6CA1">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不低于25%</w:t>
            </w:r>
          </w:p>
        </w:tc>
        <w:tc>
          <w:tcPr>
            <w:tcW w:w="1250" w:type="pct"/>
            <w:noWrap w:val="0"/>
            <w:vAlign w:val="center"/>
          </w:tcPr>
          <w:p w14:paraId="510B0A30">
            <w:pPr>
              <w:spacing w:line="560" w:lineRule="exact"/>
              <w:jc w:val="center"/>
              <w:rPr>
                <w:rFonts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不低于5%</w:t>
            </w:r>
          </w:p>
        </w:tc>
      </w:tr>
    </w:tbl>
    <w:p w14:paraId="7B789D1D">
      <w:pPr>
        <w:spacing w:line="560" w:lineRule="exact"/>
        <w:outlineLvl w:val="9"/>
        <w:rPr>
          <w:rFonts w:hint="eastAsia" w:ascii="仿宋_GB2312" w:hAnsi="仿宋_GB2312" w:eastAsia="仿宋_GB2312" w:cs="仿宋_GB2312"/>
          <w:sz w:val="32"/>
          <w:szCs w:val="32"/>
          <w:lang w:val="en-US" w:eastAsia="zh-CN"/>
        </w:rPr>
      </w:pPr>
    </w:p>
    <w:p w14:paraId="64ED7F9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方案中对于推进智慧港口建设和数字化转型相关工作的考核仅在“三型港口任务强度”中有所体现，且占比仅占10%，智慧港口工作推算只占比3-4%。</w:t>
      </w:r>
    </w:p>
    <w:p w14:paraId="6660B34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按照以上标准信息公司作为智慧港口建设主力军，集团唯一高科技企业，2025年在约30家B级企业中位列第19位，从分类结果看智慧港口主力军地位并未体现。</w:t>
      </w:r>
    </w:p>
    <w:p w14:paraId="200573B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月度考核中，科工管理部可以就“按时间任务节点在绿色、智慧、枢纽港口建设方面取得阶段性成果”方面有最高不超过6分加分权，每分200元。</w:t>
      </w:r>
    </w:p>
    <w:p w14:paraId="5724F80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年度考核中，竞争类单位年度绩效考核得分=（基本指标得分×50%+分类指标得分×25%+个性化指标得分×25%+企业综合管理指标得分+奖励指标得分）×（1-责任事故扣减系数），科工管理部可以在企业综合管理指标中根据实际完成情况进行扣分，每项最多扣1分，累计扣罚上限为10分，每分约1万元。</w:t>
      </w:r>
    </w:p>
    <w:p w14:paraId="7D1B60C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综上，目前集团公司企业负责人考核办法中，企业分级分类零基模型中，智慧港口和数字化转型建设工作融合在三型港口建设工作中体现且三型港口建设仅占比10%，智慧港口工作推算只占比3%—4%。</w:t>
      </w:r>
    </w:p>
    <w:p w14:paraId="6EBEDB5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在企业负责人月度考核中，据初步了解，智慧港口数字化转型工作奖励分数值仅为200元/分。</w:t>
      </w:r>
    </w:p>
    <w:p w14:paraId="6B832414">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在企业负责人年度考核中，对于竞争性企业按照“两利六率”考核占比80%，个性化指标占比20%。智慧港口项目完成情况以扣罚性考核为主。</w:t>
      </w:r>
    </w:p>
    <w:p w14:paraId="0AE396F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带来的问题：</w:t>
      </w:r>
    </w:p>
    <w:p w14:paraId="7D8DC1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一是</w:t>
      </w:r>
      <w:r>
        <w:rPr>
          <w:rFonts w:hint="default" w:ascii="仿宋_GB2312" w:hAnsi="仿宋_GB2312" w:eastAsia="仿宋_GB2312" w:cs="仿宋_GB2312"/>
          <w:sz w:val="32"/>
          <w:szCs w:val="32"/>
          <w:lang w:val="en-US" w:eastAsia="zh-CN"/>
        </w:rPr>
        <w:t>基层</w:t>
      </w:r>
      <w:r>
        <w:rPr>
          <w:rFonts w:hint="eastAsia" w:ascii="仿宋_GB2312" w:hAnsi="仿宋_GB2312" w:eastAsia="仿宋_GB2312" w:cs="仿宋_GB2312"/>
          <w:sz w:val="32"/>
          <w:szCs w:val="32"/>
          <w:lang w:val="en-US" w:eastAsia="zh-CN"/>
        </w:rPr>
        <w:t>单位参与智慧港口和数字化转型工作的</w:t>
      </w:r>
      <w:r>
        <w:rPr>
          <w:rFonts w:hint="default" w:ascii="仿宋_GB2312" w:hAnsi="仿宋_GB2312" w:eastAsia="仿宋_GB2312" w:cs="仿宋_GB2312"/>
          <w:sz w:val="32"/>
          <w:szCs w:val="32"/>
          <w:lang w:val="en-US" w:eastAsia="zh-CN"/>
        </w:rPr>
        <w:t>积极性不足</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基层公司</w:t>
      </w:r>
      <w:r>
        <w:rPr>
          <w:rFonts w:hint="eastAsia" w:ascii="仿宋_GB2312" w:hAnsi="仿宋_GB2312" w:eastAsia="仿宋_GB2312" w:cs="仿宋_GB2312"/>
          <w:sz w:val="32"/>
          <w:szCs w:val="32"/>
          <w:lang w:val="en-US" w:eastAsia="zh-CN"/>
        </w:rPr>
        <w:t>比如信息</w:t>
      </w:r>
      <w:r>
        <w:rPr>
          <w:rFonts w:hint="default" w:ascii="仿宋_GB2312" w:hAnsi="仿宋_GB2312" w:eastAsia="仿宋_GB2312" w:cs="仿宋_GB2312"/>
          <w:sz w:val="32"/>
          <w:szCs w:val="32"/>
          <w:lang w:val="en-US" w:eastAsia="zh-CN"/>
        </w:rPr>
        <w:t>公司因考核导向问题，投入</w:t>
      </w:r>
      <w:r>
        <w:rPr>
          <w:rFonts w:hint="eastAsia" w:ascii="仿宋_GB2312" w:hAnsi="仿宋_GB2312" w:eastAsia="仿宋_GB2312" w:cs="仿宋_GB2312"/>
          <w:sz w:val="32"/>
          <w:szCs w:val="32"/>
          <w:lang w:val="en-US" w:eastAsia="zh-CN"/>
        </w:rPr>
        <w:t>的研发</w:t>
      </w:r>
      <w:r>
        <w:rPr>
          <w:rFonts w:hint="default" w:ascii="仿宋_GB2312" w:hAnsi="仿宋_GB2312" w:eastAsia="仿宋_GB2312" w:cs="仿宋_GB2312"/>
          <w:sz w:val="32"/>
          <w:szCs w:val="32"/>
          <w:lang w:val="en-US" w:eastAsia="zh-CN"/>
        </w:rPr>
        <w:t>资源</w:t>
      </w:r>
      <w:r>
        <w:rPr>
          <w:rFonts w:hint="eastAsia" w:ascii="仿宋_GB2312" w:hAnsi="仿宋_GB2312" w:eastAsia="仿宋_GB2312" w:cs="仿宋_GB2312"/>
          <w:sz w:val="32"/>
          <w:szCs w:val="32"/>
          <w:lang w:val="en-US" w:eastAsia="zh-CN"/>
        </w:rPr>
        <w:t>并不能在企业负责人考核方面得到有效鼓励和支持，导致集团战略性和研究性项目</w:t>
      </w:r>
      <w:r>
        <w:rPr>
          <w:rFonts w:hint="default" w:ascii="仿宋_GB2312" w:hAnsi="仿宋_GB2312" w:eastAsia="仿宋_GB2312" w:cs="仿宋_GB2312"/>
          <w:sz w:val="32"/>
          <w:szCs w:val="32"/>
          <w:lang w:val="en-US" w:eastAsia="zh-CN"/>
        </w:rPr>
        <w:t>开展</w:t>
      </w:r>
      <w:r>
        <w:rPr>
          <w:rFonts w:hint="eastAsia" w:ascii="仿宋_GB2312" w:hAnsi="仿宋_GB2312" w:eastAsia="仿宋_GB2312" w:cs="仿宋_GB2312"/>
          <w:sz w:val="32"/>
          <w:szCs w:val="32"/>
          <w:lang w:val="en-US" w:eastAsia="zh-CN"/>
        </w:rPr>
        <w:t>滞缓，大数据管理中心挂牌在信息公司实体化运作更是推进困难。</w:t>
      </w:r>
    </w:p>
    <w:p w14:paraId="2461FC4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二是在年度考核中存在基层单位参与智慧港口越多，面临着被扣罚的风险越高的问题，基层单位不愿意承担智慧港口项目。</w:t>
      </w:r>
    </w:p>
    <w:p w14:paraId="1861977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三是集团内信息化数字化业务市场内耗，比如基层公司</w:t>
      </w:r>
      <w:r>
        <w:rPr>
          <w:rFonts w:hint="default" w:ascii="仿宋_GB2312" w:hAnsi="仿宋_GB2312" w:eastAsia="仿宋_GB2312" w:cs="仿宋_GB2312"/>
          <w:sz w:val="32"/>
          <w:szCs w:val="32"/>
          <w:lang w:val="en-US" w:eastAsia="zh-CN"/>
        </w:rPr>
        <w:t>希望以</w:t>
      </w: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00万成本</w:t>
      </w:r>
      <w:r>
        <w:rPr>
          <w:rFonts w:hint="eastAsia" w:ascii="仿宋_GB2312" w:hAnsi="仿宋_GB2312" w:eastAsia="仿宋_GB2312" w:cs="仿宋_GB2312"/>
          <w:sz w:val="32"/>
          <w:szCs w:val="32"/>
          <w:lang w:val="en-US" w:eastAsia="zh-CN"/>
        </w:rPr>
        <w:t>建成</w:t>
      </w:r>
      <w:r>
        <w:rPr>
          <w:rFonts w:hint="default" w:ascii="仿宋_GB2312" w:hAnsi="仿宋_GB2312" w:eastAsia="仿宋_GB2312" w:cs="仿宋_GB2312"/>
          <w:sz w:val="32"/>
          <w:szCs w:val="32"/>
          <w:lang w:val="en-US" w:eastAsia="zh-CN"/>
        </w:rPr>
        <w:t>100分</w:t>
      </w:r>
      <w:r>
        <w:rPr>
          <w:rFonts w:hint="eastAsia" w:ascii="仿宋_GB2312" w:hAnsi="仿宋_GB2312" w:eastAsia="仿宋_GB2312" w:cs="仿宋_GB2312"/>
          <w:sz w:val="32"/>
          <w:szCs w:val="32"/>
          <w:lang w:val="en-US" w:eastAsia="zh-CN"/>
        </w:rPr>
        <w:t>的信息</w:t>
      </w:r>
      <w:r>
        <w:rPr>
          <w:rFonts w:hint="default" w:ascii="仿宋_GB2312" w:hAnsi="仿宋_GB2312" w:eastAsia="仿宋_GB2312" w:cs="仿宋_GB2312"/>
          <w:sz w:val="32"/>
          <w:szCs w:val="32"/>
          <w:lang w:val="en-US" w:eastAsia="zh-CN"/>
        </w:rPr>
        <w:t>系统</w:t>
      </w:r>
      <w:r>
        <w:rPr>
          <w:rFonts w:hint="eastAsia" w:ascii="仿宋_GB2312" w:hAnsi="仿宋_GB2312" w:eastAsia="仿宋_GB2312" w:cs="仿宋_GB2312"/>
          <w:sz w:val="32"/>
          <w:szCs w:val="32"/>
          <w:lang w:val="en-US" w:eastAsia="zh-CN"/>
        </w:rPr>
        <w:t>以帮助企业效益提升，信息</w:t>
      </w:r>
      <w:r>
        <w:rPr>
          <w:rFonts w:hint="default" w:ascii="仿宋_GB2312" w:hAnsi="仿宋_GB2312" w:eastAsia="仿宋_GB2312" w:cs="仿宋_GB2312"/>
          <w:sz w:val="32"/>
          <w:szCs w:val="32"/>
          <w:lang w:val="en-US" w:eastAsia="zh-CN"/>
        </w:rPr>
        <w:t>公司</w:t>
      </w:r>
      <w:r>
        <w:rPr>
          <w:rFonts w:hint="eastAsia" w:ascii="仿宋_GB2312" w:hAnsi="仿宋_GB2312" w:eastAsia="仿宋_GB2312" w:cs="仿宋_GB2312"/>
          <w:sz w:val="32"/>
          <w:szCs w:val="32"/>
          <w:lang w:val="en-US" w:eastAsia="zh-CN"/>
        </w:rPr>
        <w:t>由于经营考核，更</w:t>
      </w:r>
      <w:r>
        <w:rPr>
          <w:rFonts w:hint="default" w:ascii="仿宋_GB2312" w:hAnsi="仿宋_GB2312" w:eastAsia="仿宋_GB2312" w:cs="仿宋_GB2312"/>
          <w:sz w:val="32"/>
          <w:szCs w:val="32"/>
          <w:lang w:val="en-US" w:eastAsia="zh-CN"/>
        </w:rPr>
        <w:t>倾向以</w:t>
      </w:r>
      <w:r>
        <w:rPr>
          <w:rFonts w:hint="eastAsia" w:ascii="仿宋_GB2312" w:hAnsi="仿宋_GB2312" w:eastAsia="仿宋_GB2312" w:cs="仿宋_GB2312"/>
          <w:sz w:val="32"/>
          <w:szCs w:val="32"/>
          <w:lang w:val="en-US" w:eastAsia="zh-CN"/>
        </w:rPr>
        <w:t>200万收入交付100分或者以100万收入交付90分的信息系统（</w:t>
      </w:r>
      <w:r>
        <w:rPr>
          <w:rFonts w:hint="default" w:ascii="仿宋_GB2312" w:hAnsi="仿宋_GB2312" w:eastAsia="仿宋_GB2312" w:cs="仿宋_GB2312"/>
          <w:sz w:val="32"/>
          <w:szCs w:val="32"/>
          <w:lang w:val="en-US" w:eastAsia="zh-CN"/>
        </w:rPr>
        <w:t>受成本控制</w:t>
      </w:r>
      <w:r>
        <w:rPr>
          <w:rFonts w:hint="eastAsia" w:ascii="仿宋_GB2312" w:hAnsi="仿宋_GB2312" w:eastAsia="仿宋_GB2312" w:cs="仿宋_GB2312"/>
          <w:sz w:val="32"/>
          <w:szCs w:val="32"/>
          <w:lang w:val="en-US" w:eastAsia="zh-CN"/>
        </w:rPr>
        <w:t>和利润影响）。供需双方的</w:t>
      </w:r>
      <w:r>
        <w:rPr>
          <w:rFonts w:hint="default" w:ascii="仿宋_GB2312" w:hAnsi="仿宋_GB2312" w:eastAsia="仿宋_GB2312" w:cs="仿宋_GB2312"/>
          <w:sz w:val="32"/>
          <w:szCs w:val="32"/>
          <w:lang w:val="en-US" w:eastAsia="zh-CN"/>
        </w:rPr>
        <w:t>考核导向</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导致集团内部</w:t>
      </w:r>
      <w:r>
        <w:rPr>
          <w:rFonts w:hint="eastAsia" w:ascii="仿宋_GB2312" w:hAnsi="仿宋_GB2312" w:eastAsia="仿宋_GB2312" w:cs="仿宋_GB2312"/>
          <w:sz w:val="32"/>
          <w:szCs w:val="32"/>
          <w:lang w:val="en-US" w:eastAsia="zh-CN"/>
        </w:rPr>
        <w:t>信息化工作内耗</w:t>
      </w:r>
      <w:r>
        <w:rPr>
          <w:rFonts w:hint="default" w:ascii="仿宋_GB2312" w:hAnsi="仿宋_GB2312" w:eastAsia="仿宋_GB2312" w:cs="仿宋_GB2312"/>
          <w:sz w:val="32"/>
          <w:szCs w:val="32"/>
          <w:lang w:val="en-US" w:eastAsia="zh-CN"/>
        </w:rPr>
        <w:t>，服务质量与成本控制难以平衡</w:t>
      </w:r>
      <w:r>
        <w:rPr>
          <w:rFonts w:hint="eastAsia" w:ascii="仿宋_GB2312" w:hAnsi="仿宋_GB2312" w:eastAsia="仿宋_GB2312" w:cs="仿宋_GB2312"/>
          <w:sz w:val="32"/>
          <w:szCs w:val="32"/>
          <w:lang w:val="en-US" w:eastAsia="zh-CN"/>
        </w:rPr>
        <w:t>。</w:t>
      </w:r>
    </w:p>
    <w:p w14:paraId="51C23A3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黑体" w:eastAsia="仿宋_GB2312"/>
          <w:sz w:val="32"/>
          <w:szCs w:val="44"/>
          <w:lang w:val="en-US" w:eastAsia="zh-CN"/>
        </w:rPr>
      </w:pPr>
      <w:r>
        <w:rPr>
          <w:rFonts w:hint="eastAsia" w:ascii="仿宋_GB2312" w:hAnsi="黑体" w:eastAsia="仿宋_GB2312"/>
          <w:sz w:val="32"/>
          <w:szCs w:val="44"/>
          <w:lang w:val="en-US" w:eastAsia="zh-CN"/>
        </w:rPr>
        <w:t>对标学习情况：</w:t>
      </w:r>
    </w:p>
    <w:p w14:paraId="3C7A5A6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黑体" w:eastAsia="仿宋_GB2312"/>
          <w:sz w:val="32"/>
          <w:szCs w:val="44"/>
          <w:lang w:val="en-US" w:eastAsia="zh-CN"/>
        </w:rPr>
        <w:t>上港集团，宁波舟山港集团对科技公司的考核，均以服务质量和系统运行安全等非经营指标考核为主（占比50%-70%）。</w:t>
      </w:r>
    </w:p>
    <w:p w14:paraId="218F2C6E">
      <w:pPr>
        <w:pStyle w:val="3"/>
        <w:keepNext/>
        <w:keepLines/>
        <w:pageBreakBefore w:val="0"/>
        <w:widowControl w:val="0"/>
        <w:kinsoku/>
        <w:wordWrap/>
        <w:overflowPunct/>
        <w:topLinePunct w:val="0"/>
        <w:autoSpaceDE/>
        <w:autoSpaceDN/>
        <w:bidi w:val="0"/>
        <w:adjustRightInd/>
        <w:snapToGrid/>
        <w:ind w:firstLine="640" w:firstLineChars="200"/>
        <w:textAlignment w:val="auto"/>
        <w:rPr>
          <w:rFonts w:hint="default"/>
          <w:b w:val="0"/>
          <w:bCs w:val="0"/>
          <w:lang w:val="en-US" w:eastAsia="zh-CN"/>
        </w:rPr>
      </w:pPr>
      <w:bookmarkStart w:id="16" w:name="_Toc27187"/>
      <w:r>
        <w:rPr>
          <w:rFonts w:hint="eastAsia"/>
          <w:b w:val="0"/>
          <w:bCs w:val="0"/>
          <w:lang w:val="en-US" w:eastAsia="zh-CN"/>
        </w:rPr>
        <w:t>（三）业务和信息化融合存在短板</w:t>
      </w:r>
      <w:bookmarkEnd w:id="16"/>
    </w:p>
    <w:p w14:paraId="342D55D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黑体" w:eastAsia="仿宋_GB2312"/>
          <w:sz w:val="32"/>
          <w:szCs w:val="44"/>
          <w:lang w:val="en-US" w:eastAsia="zh-CN"/>
        </w:rPr>
      </w:pPr>
      <w:r>
        <w:rPr>
          <w:rFonts w:hint="eastAsia" w:ascii="仿宋_GB2312" w:hAnsi="黑体" w:eastAsia="仿宋_GB2312"/>
          <w:sz w:val="32"/>
          <w:szCs w:val="44"/>
          <w:lang w:val="en-US" w:eastAsia="zh-CN"/>
        </w:rPr>
        <w:t>集团公司重点项目经理均下沉在信息公司，由于信息公司的经营考核导向，和目前的人员数量和项目数量（信息公司解决方案经理约10人，人均承接项目10个左右）情况，不可能要求项目经理从专业角度支撑项目全生命周期管理，尤其是集团重点领域项目。</w:t>
      </w:r>
    </w:p>
    <w:p w14:paraId="62C3CAF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仿宋_GB2312" w:eastAsia="仿宋_GB2312" w:cs="仿宋_GB2312"/>
          <w:color w:val="C00000"/>
          <w:sz w:val="32"/>
          <w:szCs w:val="32"/>
          <w:highlight w:val="none"/>
          <w:lang w:val="en-US" w:eastAsia="zh-CN"/>
        </w:rPr>
      </w:pPr>
      <w:r>
        <w:rPr>
          <w:rFonts w:hint="eastAsia" w:ascii="仿宋_GB2312" w:hAnsi="黑体" w:eastAsia="仿宋_GB2312"/>
          <w:sz w:val="32"/>
          <w:szCs w:val="44"/>
          <w:lang w:val="en-US" w:eastAsia="zh-CN"/>
        </w:rPr>
        <w:t>带来的问题：业务与技术脱节，信息化与业务融合度低，集团层面缺乏在典型领域既懂业务又懂技术的复合型人才，导致典型业务领域解决方案和技术积累较慢，从长远看，智慧港口解决方案很难在集团层面形成知识产权，难以支撑未来集团公司数字化转型发展需要。例如，目前散货业务系统中约有160余张表单，几乎无人能够清晰描述其服务场景、技术路线以及未来迭代升级需求。</w:t>
      </w:r>
    </w:p>
    <w:p w14:paraId="49B29F6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对标学习情况：</w:t>
      </w:r>
    </w:p>
    <w:p w14:paraId="05936EB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仿宋_GB2312" w:hAnsi="黑体" w:eastAsia="仿宋_GB2312"/>
          <w:sz w:val="32"/>
          <w:szCs w:val="44"/>
          <w:lang w:val="en-US" w:eastAsia="zh-CN"/>
        </w:rPr>
      </w:pPr>
      <w:r>
        <w:rPr>
          <w:rFonts w:hint="eastAsia" w:ascii="仿宋_GB2312" w:hAnsi="黑体" w:eastAsia="仿宋_GB2312"/>
          <w:sz w:val="32"/>
          <w:szCs w:val="44"/>
          <w:lang w:val="en-US" w:eastAsia="zh-CN"/>
        </w:rPr>
        <w:t xml:space="preserve">对标中远海运科技集团，其拥有 20 余人组成的专业信息化 </w:t>
      </w:r>
    </w:p>
    <w:p w14:paraId="3F86D655">
      <w:pPr>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黑体" w:eastAsia="仿宋_GB2312"/>
          <w:sz w:val="32"/>
          <w:szCs w:val="44"/>
          <w:lang w:val="en-US" w:eastAsia="zh-CN"/>
        </w:rPr>
        <w:t>团队在集团重要项目中发挥项目经理职能，从项目立项、项目验收到项目运维、功能迭代，跟进项目全生命周期。</w:t>
      </w:r>
    </w:p>
    <w:p w14:paraId="6F6561EE">
      <w:pPr>
        <w:pStyle w:val="2"/>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rPr>
          <w:rFonts w:hint="eastAsia"/>
          <w:sz w:val="32"/>
          <w:szCs w:val="32"/>
          <w:lang w:val="en-US" w:eastAsia="zh-CN"/>
        </w:rPr>
      </w:pPr>
      <w:bookmarkStart w:id="17" w:name="_Toc5150"/>
      <w:r>
        <w:rPr>
          <w:rFonts w:hint="eastAsia"/>
          <w:sz w:val="32"/>
          <w:szCs w:val="32"/>
          <w:lang w:val="en-US" w:eastAsia="zh-CN"/>
        </w:rPr>
        <w:t>五、集团公司智慧港口建设管理体制机制改进方向及工作建议</w:t>
      </w:r>
      <w:bookmarkEnd w:id="17"/>
    </w:p>
    <w:p w14:paraId="141C5072">
      <w:pPr>
        <w:pStyle w:val="1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仿宋_GB2312" w:eastAsia="仿宋_GB2312" w:cs="仿宋_GB2312"/>
          <w:b/>
          <w:bCs/>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方案一</w:t>
      </w: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维持现有智慧港口管理体制机制，暨集团公司、产业平台、信息公司（大数据管理中心在信息公司实体化运作）的管理机制，强化数转办对信息公司保障性业务的考核（参考上港集团对海勃公司的考核，非经营性考核占比50%以上）。</w:t>
      </w:r>
    </w:p>
    <w:p w14:paraId="43ABC595">
      <w:pPr>
        <w:pStyle w:val="1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该方案优势：除调整考核结构外，与现有组织模式一致，实施难度较低。</w:t>
      </w:r>
    </w:p>
    <w:p w14:paraId="34F40195">
      <w:pPr>
        <w:pStyle w:val="1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b/>
          <w:bCs/>
          <w:lang w:val="en-US" w:eastAsia="zh-CN"/>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该方案风险：依然无法解决集团统建项目，重点项目定价，服务保障、重点项目支撑与经营考核矛盾问题，集团存在继续组建考核管理委员会或定价委员会等跨部门组织来仲裁数字化项目价格、考核指标等问题的可能（经对标学习，国内港口集团尚无此类仲裁委员会的案例）。</w:t>
      </w:r>
    </w:p>
    <w:p w14:paraId="3088271A">
      <w:pPr>
        <w:pStyle w:val="1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firstLine="643" w:firstLineChars="200"/>
        <w:jc w:val="both"/>
        <w:textAlignment w:val="auto"/>
      </w:pPr>
      <w:r>
        <w:rPr>
          <w:rFonts w:hint="eastAsia" w:ascii="仿宋_GB2312" w:hAnsi="仿宋_GB2312" w:eastAsia="仿宋_GB2312" w:cs="仿宋_GB2312"/>
          <w:b/>
          <w:bCs/>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方案二</w:t>
      </w: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：体制方面，</w:t>
      </w:r>
      <w:r>
        <w:rPr>
          <w:rFonts w:ascii="仿宋_GB2312" w:hAnsi="宋体" w:eastAsia="仿宋_GB2312" w:cs="仿宋_GB2312"/>
          <w:color w:val="000000"/>
          <w:kern w:val="0"/>
          <w:sz w:val="31"/>
          <w:szCs w:val="31"/>
          <w:lang w:val="en-US" w:eastAsia="zh-CN" w:bidi="ar"/>
        </w:rPr>
        <w:t>建议运营管理部牵头，组织研究集团大数据管理中心</w:t>
      </w:r>
      <w:r>
        <w:rPr>
          <w:rFonts w:hint="eastAsia" w:ascii="仿宋_GB2312" w:hAnsi="宋体" w:eastAsia="仿宋_GB2312" w:cs="仿宋_GB2312"/>
          <w:color w:val="000000"/>
          <w:kern w:val="0"/>
          <w:sz w:val="31"/>
          <w:szCs w:val="31"/>
          <w:lang w:val="en-US" w:eastAsia="zh-CN" w:bidi="ar"/>
        </w:rPr>
        <w:t xml:space="preserve">按照集团公司“1+4+N”管理架构纳入N的管理机制， </w:t>
      </w:r>
    </w:p>
    <w:p w14:paraId="5EBDEBEA">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宋体" w:eastAsia="仿宋_GB2312" w:cs="仿宋_GB2312"/>
          <w:color w:val="000000"/>
          <w:kern w:val="0"/>
          <w:sz w:val="31"/>
          <w:szCs w:val="31"/>
          <w:lang w:val="en-US" w:eastAsia="zh-CN" w:bidi="ar"/>
        </w:rPr>
        <w:t>以集团非经营性非独立公司化实体形式运作的组织模式。</w:t>
      </w: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大数据管理中心独立负责集团统建信息化项目技术统筹，发挥代业主职能，参照中远海运数科公司模式履行全生命周期项目经理职责。</w:t>
      </w:r>
    </w:p>
    <w:p w14:paraId="36333A7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 xml:space="preserve">机制方面，对信息公司的考核结构予以调整，参考上港集团和宁波舟山港集团对科技公司的考核模式，针对集团统建项目，依据服务质量、重点工作完成情况设定考核权重，例如，JTOS收费由集团决策定价，但其定价收入不纳入信息公司的考核范畴。 </w:t>
      </w:r>
    </w:p>
    <w:p w14:paraId="58DAE56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lang w:val="en-US" w:eastAsia="zh-CN"/>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该方案的优势：大数据管理中心作为数字化转型管理职能的延伸和实施工作的统筹，有利于集团数字化转型工作的统筹高效开展；调整信息公司经营性考核比重，有利于信息公司集中优势资源服务集团数字化转型重点项目。</w:t>
      </w:r>
    </w:p>
    <w:p w14:paraId="1A07FD7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firstLine="643"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仿宋_GB2312" w:eastAsia="仿宋_GB2312" w:cs="仿宋_GB2312"/>
          <w:b/>
          <w:bCs/>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方案三</w:t>
      </w: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：体制方面，信息公司整体转型为集团非经营性独立公司化实体形式运作，负责集团统建信息化项目建设与运维。</w:t>
      </w:r>
    </w:p>
    <w:p w14:paraId="08C256A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 xml:space="preserve">机制方面，对信息公司的考核结构予以调整，取消市场化考核，由集团数转办直接管理并直接对信息公司的项目质量和服务质量进行考核，信息公司专注于集团内部数字化项目的服务保障。 </w:t>
      </w:r>
    </w:p>
    <w:p w14:paraId="0D4C680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lang w:val="en-US" w:eastAsia="zh-CN"/>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该方案的优势：解决数字化转型工作体制性矛盾，集中资源支撑集团数字化转型战略。</w:t>
      </w:r>
    </w:p>
    <w:p w14:paraId="2F2B104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pPr>
      <w:r>
        <w:rPr>
          <w:rFonts w:hint="eastAsia" w:ascii="仿宋_GB2312" w:hAnsi="仿宋_GB2312" w:eastAsia="仿宋_GB2312" w:cs="仿宋_GB2312"/>
          <w:i w:val="0"/>
          <w:iCs w:val="0"/>
          <w:caps w:val="0"/>
          <w:color w:val="000000" w:themeColor="text1"/>
          <w:spacing w:val="0"/>
          <w:kern w:val="2"/>
          <w:sz w:val="32"/>
          <w:szCs w:val="32"/>
          <w:highlight w:val="none"/>
          <w:shd w:val="clear" w:fill="FFFFFF"/>
          <w:lang w:val="en-US" w:eastAsia="zh-CN" w:bidi="ar-SA"/>
          <w14:textFill>
            <w14:solidFill>
              <w14:schemeClr w14:val="tx1"/>
            </w14:solidFill>
          </w14:textFill>
        </w:rPr>
        <w:t>该方案的风险：需要剥离信息公司集团外业务至其他公司，比如其二级企业振港公司，需要集团进一步研究决策。</w:t>
      </w:r>
    </w:p>
    <w:p w14:paraId="4BD2301E">
      <w:pPr>
        <w:pStyle w:val="7"/>
        <w:keepNext w:val="0"/>
        <w:keepLines w:val="0"/>
        <w:pageBreakBefore w:val="0"/>
        <w:tabs>
          <w:tab w:val="left" w:pos="642"/>
        </w:tabs>
        <w:kinsoku/>
        <w:wordWrap/>
        <w:overflowPunct/>
        <w:topLinePunct w:val="0"/>
        <w:autoSpaceDE/>
        <w:autoSpaceDN/>
        <w:bidi w:val="0"/>
        <w:adjustRightInd/>
        <w:snapToGrid w:val="0"/>
        <w:spacing w:line="560" w:lineRule="exact"/>
        <w:textAlignment w:val="auto"/>
        <w:rPr>
          <w:rFonts w:hint="eastAsia"/>
          <w:u w:val="none"/>
          <w:lang w:val="en-US" w:eastAsia="zh-CN"/>
        </w:rPr>
      </w:pPr>
      <w:r>
        <w:rPr>
          <w:rFonts w:ascii="仿宋_GB2312" w:hAnsi="宋体" w:eastAsia="仿宋_GB2312" w:cs="仿宋_GB2312"/>
          <w:color w:val="000000"/>
          <w:kern w:val="0"/>
          <w:sz w:val="31"/>
          <w:szCs w:val="31"/>
          <w:lang w:val="en-US" w:eastAsia="zh-CN" w:bidi="ar"/>
        </w:rPr>
        <w:t>附件：1.</w:t>
      </w:r>
      <w:r>
        <w:rPr>
          <w:rFonts w:hint="eastAsia" w:ascii="仿宋_GB2312" w:hAnsi="宋体" w:eastAsia="仿宋_GB2312" w:cs="仿宋_GB2312"/>
          <w:color w:val="000000"/>
          <w:kern w:val="0"/>
          <w:sz w:val="31"/>
          <w:szCs w:val="31"/>
          <w:lang w:val="en-US" w:eastAsia="zh-CN" w:bidi="ar"/>
        </w:rPr>
        <w:t>需集团大数据管理中心近期开展的工作</w:t>
      </w:r>
    </w:p>
    <w:p w14:paraId="74C29A04">
      <w:pPr>
        <w:pStyle w:val="7"/>
        <w:keepNext w:val="0"/>
        <w:keepLines w:val="0"/>
        <w:pageBreakBefore w:val="0"/>
        <w:tabs>
          <w:tab w:val="left" w:pos="642"/>
        </w:tabs>
        <w:kinsoku/>
        <w:wordWrap/>
        <w:overflowPunct/>
        <w:topLinePunct w:val="0"/>
        <w:autoSpaceDE/>
        <w:autoSpaceDN/>
        <w:bidi w:val="0"/>
        <w:adjustRightInd/>
        <w:snapToGrid w:val="0"/>
        <w:spacing w:line="560" w:lineRule="exact"/>
        <w:ind w:firstLine="960" w:firstLineChars="300"/>
        <w:textAlignment w:val="auto"/>
        <w:rPr>
          <w:rFonts w:hint="default" w:ascii="Times New Roman" w:hAnsi="Times New Roman" w:eastAsia="文星仿宋" w:cs="Times New Roman"/>
          <w:kern w:val="2"/>
          <w:sz w:val="32"/>
          <w:szCs w:val="24"/>
          <w:u w:val="none"/>
          <w:lang w:val="en-US" w:eastAsia="zh-CN" w:bidi="ar-SA"/>
        </w:rPr>
      </w:pPr>
      <w:r>
        <w:rPr>
          <w:rFonts w:hint="eastAsia" w:ascii="Times New Roman" w:hAnsi="Times New Roman" w:eastAsia="文星仿宋" w:cs="Times New Roman"/>
          <w:kern w:val="2"/>
          <w:sz w:val="32"/>
          <w:szCs w:val="24"/>
          <w:u w:val="none"/>
          <w:lang w:val="en-US" w:eastAsia="zh-CN" w:bidi="ar-SA"/>
        </w:rPr>
        <w:t>2.集团公司“N”家管理服务机构运行模式</w:t>
      </w:r>
    </w:p>
    <w:sectPr>
      <w:pgSz w:w="11906" w:h="16838"/>
      <w:pgMar w:top="2098" w:right="1474" w:bottom="1985" w:left="1588"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3DB22A8-36CD-4D86-86BC-3065FA392FA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81376750-285E-47B3-B660-00E8594396DC}"/>
  </w:font>
  <w:font w:name="楷体_GB2312">
    <w:panose1 w:val="02010609030101010101"/>
    <w:charset w:val="86"/>
    <w:family w:val="modern"/>
    <w:pitch w:val="default"/>
    <w:sig w:usb0="00000001" w:usb1="080E0000" w:usb2="00000000" w:usb3="00000000" w:csb0="00040000" w:csb1="00000000"/>
    <w:embedRegular r:id="rId3" w:fontKey="{ECF5D2E8-F786-40B5-851E-56BA6CF98842}"/>
  </w:font>
  <w:font w:name="仿宋_GB2312">
    <w:panose1 w:val="02010609030101010101"/>
    <w:charset w:val="86"/>
    <w:family w:val="auto"/>
    <w:pitch w:val="default"/>
    <w:sig w:usb0="00000001" w:usb1="080E0000" w:usb2="00000000" w:usb3="00000000" w:csb0="00040000" w:csb1="00000000"/>
    <w:embedRegular r:id="rId4" w:fontKey="{2F57183E-962A-42E4-B763-694591E49F42}"/>
  </w:font>
  <w:font w:name="文星仿宋">
    <w:altName w:val="仿宋"/>
    <w:panose1 w:val="00000000000000000000"/>
    <w:charset w:val="86"/>
    <w:family w:val="modern"/>
    <w:pitch w:val="default"/>
    <w:sig w:usb0="00000000" w:usb1="00000000" w:usb2="00000010" w:usb3="00000000" w:csb0="00040000" w:csb1="00000000"/>
    <w:embedRegular r:id="rId5" w:fontKey="{2367098D-997A-4D92-96C3-B902A940C58D}"/>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embedRegular r:id="rId6" w:fontKey="{446FE276-14FC-44D3-94AA-B021D653CEFB}"/>
  </w:font>
  <w:font w:name="Segoe UI">
    <w:panose1 w:val="020B0502040204020203"/>
    <w:charset w:val="00"/>
    <w:family w:val="auto"/>
    <w:pitch w:val="default"/>
    <w:sig w:usb0="E4002EFF" w:usb1="C000E47F" w:usb2="00000009" w:usb3="00000000" w:csb0="200001FF" w:csb1="00000000"/>
    <w:embedRegular r:id="rId7" w:fontKey="{D72C5F03-6D9B-4404-ABF1-93795CF1247C}"/>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FAFB2">
    <w:pPr>
      <w:pStyle w:val="1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78582445"/>
                          </w:sdtPr>
                          <w:sdtContent>
                            <w:p w14:paraId="324AE549">
                              <w:pPr>
                                <w:pStyle w:val="10"/>
                                <w:jc w:val="cente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PAGE   \* MERGEFORMAT</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lang w:val="zh-CN"/>
                                </w:rPr>
                                <w:t>21</w:t>
                              </w:r>
                              <w:r>
                                <w:rPr>
                                  <w:rFonts w:hint="eastAsia" w:ascii="仿宋_GB2312" w:hAnsi="仿宋_GB2312" w:eastAsia="仿宋_GB2312" w:cs="仿宋_GB2312"/>
                                  <w:sz w:val="28"/>
                                  <w:szCs w:val="28"/>
                                </w:rPr>
                                <w:fldChar w:fldCharType="end"/>
                              </w:r>
                            </w:p>
                          </w:sdtContent>
                        </w:sdt>
                        <w:p w14:paraId="19157498"/>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678582445"/>
                    </w:sdtPr>
                    <w:sdtContent>
                      <w:p w14:paraId="324AE549">
                        <w:pPr>
                          <w:pStyle w:val="10"/>
                          <w:jc w:val="cente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PAGE   \* MERGEFORMAT</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lang w:val="zh-CN"/>
                          </w:rPr>
                          <w:t>21</w:t>
                        </w:r>
                        <w:r>
                          <w:rPr>
                            <w:rFonts w:hint="eastAsia" w:ascii="仿宋_GB2312" w:hAnsi="仿宋_GB2312" w:eastAsia="仿宋_GB2312" w:cs="仿宋_GB2312"/>
                            <w:sz w:val="28"/>
                            <w:szCs w:val="28"/>
                          </w:rPr>
                          <w:fldChar w:fldCharType="end"/>
                        </w:r>
                      </w:p>
                    </w:sdtContent>
                  </w:sdt>
                  <w:p w14:paraId="19157498"/>
                </w:txbxContent>
              </v:textbox>
            </v:shape>
          </w:pict>
        </mc:Fallback>
      </mc:AlternateContent>
    </w:r>
  </w:p>
  <w:p w14:paraId="7F79C341">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A8946">
    <w:pPr>
      <w:pStyle w:val="1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3795"/>
                          </w:sdtPr>
                          <w:sdtContent>
                            <w:p w14:paraId="0DE5E855">
                              <w:pPr>
                                <w:pStyle w:val="10"/>
                                <w:jc w:val="cente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PAGE   \* MERGEFORMAT</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lang w:val="zh-CN"/>
                                </w:rPr>
                                <w:t>21</w:t>
                              </w:r>
                              <w:r>
                                <w:rPr>
                                  <w:rFonts w:hint="eastAsia" w:ascii="仿宋_GB2312" w:hAnsi="仿宋_GB2312" w:eastAsia="仿宋_GB2312" w:cs="仿宋_GB2312"/>
                                  <w:sz w:val="28"/>
                                  <w:szCs w:val="28"/>
                                </w:rPr>
                                <w:fldChar w:fldCharType="end"/>
                              </w:r>
                            </w:p>
                          </w:sdtContent>
                        </w:sdt>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47473795"/>
                    </w:sdtPr>
                    <w:sdtContent>
                      <w:p w14:paraId="0DE5E855">
                        <w:pPr>
                          <w:pStyle w:val="10"/>
                          <w:jc w:val="cente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PAGE   \* MERGEFORMAT</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lang w:val="zh-CN"/>
                          </w:rPr>
                          <w:t>21</w:t>
                        </w:r>
                        <w:r>
                          <w:rPr>
                            <w:rFonts w:hint="eastAsia" w:ascii="仿宋_GB2312" w:hAnsi="仿宋_GB2312" w:eastAsia="仿宋_GB2312" w:cs="仿宋_GB2312"/>
                            <w:sz w:val="28"/>
                            <w:szCs w:val="28"/>
                          </w:rPr>
                          <w:fldChar w:fldCharType="end"/>
                        </w:r>
                      </w:p>
                    </w:sdtContent>
                  </w:sdt>
                </w:txbxContent>
              </v:textbox>
            </v:shape>
          </w:pict>
        </mc:Fallback>
      </mc:AlternateContent>
    </w:r>
  </w:p>
  <w:p w14:paraId="3143B426">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741A70"/>
    <w:multiLevelType w:val="singleLevel"/>
    <w:tmpl w:val="69741A70"/>
    <w:lvl w:ilvl="0" w:tentative="0">
      <w:start w:val="1"/>
      <w:numFmt w:val="chineseCounting"/>
      <w:suff w:val="nothing"/>
      <w:lvlText w:val="%1、"/>
      <w:lvlJc w:val="left"/>
      <w:pPr>
        <w:ind w:left="0" w:firstLine="420"/>
      </w:pPr>
      <w:rPr>
        <w:rFonts w:hint="eastAsia"/>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VhMzM5ZmVlMWU4NGJlYTgyNTQ1YjI4ZWNjNWUyNmQifQ=="/>
  </w:docVars>
  <w:rsids>
    <w:rsidRoot w:val="00EA50EC"/>
    <w:rsid w:val="00000A45"/>
    <w:rsid w:val="00002E7D"/>
    <w:rsid w:val="00006810"/>
    <w:rsid w:val="00006A95"/>
    <w:rsid w:val="0000738A"/>
    <w:rsid w:val="000113AC"/>
    <w:rsid w:val="000139D4"/>
    <w:rsid w:val="00021F15"/>
    <w:rsid w:val="00022208"/>
    <w:rsid w:val="000231E1"/>
    <w:rsid w:val="000240FC"/>
    <w:rsid w:val="00027EA5"/>
    <w:rsid w:val="000372D1"/>
    <w:rsid w:val="00044C3B"/>
    <w:rsid w:val="00045056"/>
    <w:rsid w:val="0004592E"/>
    <w:rsid w:val="00047E72"/>
    <w:rsid w:val="00050318"/>
    <w:rsid w:val="000516A2"/>
    <w:rsid w:val="00057A72"/>
    <w:rsid w:val="00060534"/>
    <w:rsid w:val="00066941"/>
    <w:rsid w:val="00075F34"/>
    <w:rsid w:val="00082357"/>
    <w:rsid w:val="0008699C"/>
    <w:rsid w:val="00094DE5"/>
    <w:rsid w:val="00096F89"/>
    <w:rsid w:val="000A002F"/>
    <w:rsid w:val="000A2A25"/>
    <w:rsid w:val="000B20BC"/>
    <w:rsid w:val="000B706E"/>
    <w:rsid w:val="000B70E1"/>
    <w:rsid w:val="000C1F92"/>
    <w:rsid w:val="000C439F"/>
    <w:rsid w:val="000C75DF"/>
    <w:rsid w:val="0010269B"/>
    <w:rsid w:val="0011204F"/>
    <w:rsid w:val="0011438C"/>
    <w:rsid w:val="0011784D"/>
    <w:rsid w:val="001339FD"/>
    <w:rsid w:val="00133D20"/>
    <w:rsid w:val="00134BE6"/>
    <w:rsid w:val="00135BEA"/>
    <w:rsid w:val="00142CE9"/>
    <w:rsid w:val="00147B7E"/>
    <w:rsid w:val="00153C1D"/>
    <w:rsid w:val="00160F33"/>
    <w:rsid w:val="001629EB"/>
    <w:rsid w:val="001704B3"/>
    <w:rsid w:val="00171288"/>
    <w:rsid w:val="00171784"/>
    <w:rsid w:val="00174737"/>
    <w:rsid w:val="00180359"/>
    <w:rsid w:val="001857F4"/>
    <w:rsid w:val="001979AC"/>
    <w:rsid w:val="001A3D4A"/>
    <w:rsid w:val="001A53E5"/>
    <w:rsid w:val="001B0782"/>
    <w:rsid w:val="001B1DD7"/>
    <w:rsid w:val="001B2FC6"/>
    <w:rsid w:val="001B346E"/>
    <w:rsid w:val="001B7C4C"/>
    <w:rsid w:val="001C3719"/>
    <w:rsid w:val="001C4627"/>
    <w:rsid w:val="001C46F3"/>
    <w:rsid w:val="001C5412"/>
    <w:rsid w:val="001D0243"/>
    <w:rsid w:val="001D1589"/>
    <w:rsid w:val="001D162A"/>
    <w:rsid w:val="001D1E0B"/>
    <w:rsid w:val="001D49AC"/>
    <w:rsid w:val="001D5C69"/>
    <w:rsid w:val="001D5D92"/>
    <w:rsid w:val="001F0C18"/>
    <w:rsid w:val="001F621B"/>
    <w:rsid w:val="001F73DC"/>
    <w:rsid w:val="00200A3F"/>
    <w:rsid w:val="0020207C"/>
    <w:rsid w:val="00203D1A"/>
    <w:rsid w:val="00205B65"/>
    <w:rsid w:val="00210835"/>
    <w:rsid w:val="00227066"/>
    <w:rsid w:val="0025522D"/>
    <w:rsid w:val="002565C3"/>
    <w:rsid w:val="0026160C"/>
    <w:rsid w:val="00262160"/>
    <w:rsid w:val="002663B9"/>
    <w:rsid w:val="00272512"/>
    <w:rsid w:val="002736E5"/>
    <w:rsid w:val="00277D05"/>
    <w:rsid w:val="00285B2E"/>
    <w:rsid w:val="00290B15"/>
    <w:rsid w:val="00293B88"/>
    <w:rsid w:val="00295B6A"/>
    <w:rsid w:val="00297FAC"/>
    <w:rsid w:val="002A07CB"/>
    <w:rsid w:val="002A5F51"/>
    <w:rsid w:val="002B5552"/>
    <w:rsid w:val="002B7FC0"/>
    <w:rsid w:val="002C7CD0"/>
    <w:rsid w:val="002F00A1"/>
    <w:rsid w:val="002F48E7"/>
    <w:rsid w:val="00323466"/>
    <w:rsid w:val="00323E9F"/>
    <w:rsid w:val="00325652"/>
    <w:rsid w:val="00326D28"/>
    <w:rsid w:val="0033021F"/>
    <w:rsid w:val="00332647"/>
    <w:rsid w:val="00334CB4"/>
    <w:rsid w:val="00336169"/>
    <w:rsid w:val="00336307"/>
    <w:rsid w:val="00336B6F"/>
    <w:rsid w:val="00341C69"/>
    <w:rsid w:val="00350897"/>
    <w:rsid w:val="00350C06"/>
    <w:rsid w:val="003571E0"/>
    <w:rsid w:val="003604EF"/>
    <w:rsid w:val="0036161A"/>
    <w:rsid w:val="003645BE"/>
    <w:rsid w:val="00366BB1"/>
    <w:rsid w:val="003721A4"/>
    <w:rsid w:val="00382430"/>
    <w:rsid w:val="00383B2F"/>
    <w:rsid w:val="00386165"/>
    <w:rsid w:val="00393632"/>
    <w:rsid w:val="00397EDF"/>
    <w:rsid w:val="003A0A40"/>
    <w:rsid w:val="003A1A2E"/>
    <w:rsid w:val="003A3253"/>
    <w:rsid w:val="003A7403"/>
    <w:rsid w:val="003B059C"/>
    <w:rsid w:val="003C1716"/>
    <w:rsid w:val="003C2F39"/>
    <w:rsid w:val="003C6A54"/>
    <w:rsid w:val="003D04B1"/>
    <w:rsid w:val="003E431A"/>
    <w:rsid w:val="003E7173"/>
    <w:rsid w:val="003F72CD"/>
    <w:rsid w:val="00401004"/>
    <w:rsid w:val="00401700"/>
    <w:rsid w:val="0040175E"/>
    <w:rsid w:val="00403F88"/>
    <w:rsid w:val="00416E38"/>
    <w:rsid w:val="00421B0B"/>
    <w:rsid w:val="00432BB9"/>
    <w:rsid w:val="00434C04"/>
    <w:rsid w:val="00436F38"/>
    <w:rsid w:val="004504F8"/>
    <w:rsid w:val="00455994"/>
    <w:rsid w:val="004630AD"/>
    <w:rsid w:val="00465027"/>
    <w:rsid w:val="00466EE0"/>
    <w:rsid w:val="00475DA9"/>
    <w:rsid w:val="00475E58"/>
    <w:rsid w:val="00484A96"/>
    <w:rsid w:val="004A4637"/>
    <w:rsid w:val="004B0692"/>
    <w:rsid w:val="004C1610"/>
    <w:rsid w:val="004C1FD7"/>
    <w:rsid w:val="004C539E"/>
    <w:rsid w:val="004C53B6"/>
    <w:rsid w:val="004C5713"/>
    <w:rsid w:val="004E61CC"/>
    <w:rsid w:val="004E70C6"/>
    <w:rsid w:val="004F1728"/>
    <w:rsid w:val="004F3D70"/>
    <w:rsid w:val="00504DCA"/>
    <w:rsid w:val="00513B16"/>
    <w:rsid w:val="00531079"/>
    <w:rsid w:val="00532843"/>
    <w:rsid w:val="00534AD4"/>
    <w:rsid w:val="005401BD"/>
    <w:rsid w:val="00541D3E"/>
    <w:rsid w:val="00541DFE"/>
    <w:rsid w:val="00541E05"/>
    <w:rsid w:val="00544B23"/>
    <w:rsid w:val="00552258"/>
    <w:rsid w:val="0055499C"/>
    <w:rsid w:val="0055588F"/>
    <w:rsid w:val="00557D29"/>
    <w:rsid w:val="00562042"/>
    <w:rsid w:val="005710FD"/>
    <w:rsid w:val="0057111C"/>
    <w:rsid w:val="00582A65"/>
    <w:rsid w:val="0058418D"/>
    <w:rsid w:val="00585D68"/>
    <w:rsid w:val="005868F2"/>
    <w:rsid w:val="00592E91"/>
    <w:rsid w:val="005976F0"/>
    <w:rsid w:val="005A72DC"/>
    <w:rsid w:val="005B0E1F"/>
    <w:rsid w:val="005B1CA4"/>
    <w:rsid w:val="005B4603"/>
    <w:rsid w:val="005C0CBB"/>
    <w:rsid w:val="005C464F"/>
    <w:rsid w:val="005C5C4D"/>
    <w:rsid w:val="005D00DC"/>
    <w:rsid w:val="005D4895"/>
    <w:rsid w:val="005D6CE3"/>
    <w:rsid w:val="005D790A"/>
    <w:rsid w:val="005E7F02"/>
    <w:rsid w:val="005F4E16"/>
    <w:rsid w:val="005F736F"/>
    <w:rsid w:val="00600C99"/>
    <w:rsid w:val="0060137C"/>
    <w:rsid w:val="0062571A"/>
    <w:rsid w:val="00625EB5"/>
    <w:rsid w:val="00627EDA"/>
    <w:rsid w:val="00634A49"/>
    <w:rsid w:val="006500A9"/>
    <w:rsid w:val="00651D30"/>
    <w:rsid w:val="00654D9D"/>
    <w:rsid w:val="006669BC"/>
    <w:rsid w:val="00676C41"/>
    <w:rsid w:val="00681BF9"/>
    <w:rsid w:val="00691A61"/>
    <w:rsid w:val="006924F1"/>
    <w:rsid w:val="006A189B"/>
    <w:rsid w:val="006A1CD9"/>
    <w:rsid w:val="006A225D"/>
    <w:rsid w:val="006C0F09"/>
    <w:rsid w:val="006C1160"/>
    <w:rsid w:val="006C55F5"/>
    <w:rsid w:val="006C74B2"/>
    <w:rsid w:val="006D044B"/>
    <w:rsid w:val="006D199C"/>
    <w:rsid w:val="006D1C48"/>
    <w:rsid w:val="006E16EB"/>
    <w:rsid w:val="006E4441"/>
    <w:rsid w:val="006E487E"/>
    <w:rsid w:val="006E4A81"/>
    <w:rsid w:val="006E547F"/>
    <w:rsid w:val="006F59E0"/>
    <w:rsid w:val="006F7486"/>
    <w:rsid w:val="00701772"/>
    <w:rsid w:val="00701ED9"/>
    <w:rsid w:val="00703627"/>
    <w:rsid w:val="00704DB2"/>
    <w:rsid w:val="00706D46"/>
    <w:rsid w:val="007140A2"/>
    <w:rsid w:val="007142AE"/>
    <w:rsid w:val="00715FDF"/>
    <w:rsid w:val="00725444"/>
    <w:rsid w:val="007262B3"/>
    <w:rsid w:val="00731425"/>
    <w:rsid w:val="007441EE"/>
    <w:rsid w:val="00746F5D"/>
    <w:rsid w:val="00754281"/>
    <w:rsid w:val="00762582"/>
    <w:rsid w:val="00762743"/>
    <w:rsid w:val="007747F4"/>
    <w:rsid w:val="0078368F"/>
    <w:rsid w:val="00785155"/>
    <w:rsid w:val="00790797"/>
    <w:rsid w:val="00793CE9"/>
    <w:rsid w:val="00793DC1"/>
    <w:rsid w:val="007A1395"/>
    <w:rsid w:val="007A37DE"/>
    <w:rsid w:val="007B2170"/>
    <w:rsid w:val="007B340F"/>
    <w:rsid w:val="007B5F71"/>
    <w:rsid w:val="007D2322"/>
    <w:rsid w:val="007D3C3E"/>
    <w:rsid w:val="007D57D3"/>
    <w:rsid w:val="007D5FC4"/>
    <w:rsid w:val="007D6BF1"/>
    <w:rsid w:val="007E6F06"/>
    <w:rsid w:val="007F2B4C"/>
    <w:rsid w:val="00801E93"/>
    <w:rsid w:val="008051FD"/>
    <w:rsid w:val="008059D5"/>
    <w:rsid w:val="00807FC1"/>
    <w:rsid w:val="00814795"/>
    <w:rsid w:val="00827563"/>
    <w:rsid w:val="00832DDB"/>
    <w:rsid w:val="00835322"/>
    <w:rsid w:val="0083664D"/>
    <w:rsid w:val="008403AD"/>
    <w:rsid w:val="00843DEF"/>
    <w:rsid w:val="008514D7"/>
    <w:rsid w:val="008545F0"/>
    <w:rsid w:val="008561AA"/>
    <w:rsid w:val="0086026B"/>
    <w:rsid w:val="008613E3"/>
    <w:rsid w:val="008627EF"/>
    <w:rsid w:val="00864C0C"/>
    <w:rsid w:val="00873E6E"/>
    <w:rsid w:val="00874BC4"/>
    <w:rsid w:val="00882D9F"/>
    <w:rsid w:val="00896296"/>
    <w:rsid w:val="008963A2"/>
    <w:rsid w:val="008A110B"/>
    <w:rsid w:val="008A35C6"/>
    <w:rsid w:val="008A3E89"/>
    <w:rsid w:val="008A7D0F"/>
    <w:rsid w:val="008B0FE1"/>
    <w:rsid w:val="008B6356"/>
    <w:rsid w:val="008B724A"/>
    <w:rsid w:val="008C07CB"/>
    <w:rsid w:val="008C087F"/>
    <w:rsid w:val="008C2349"/>
    <w:rsid w:val="008D77DC"/>
    <w:rsid w:val="008E50B4"/>
    <w:rsid w:val="008E7D1A"/>
    <w:rsid w:val="008F1047"/>
    <w:rsid w:val="008F5233"/>
    <w:rsid w:val="008F66F2"/>
    <w:rsid w:val="0090407D"/>
    <w:rsid w:val="009055A8"/>
    <w:rsid w:val="00905974"/>
    <w:rsid w:val="00906217"/>
    <w:rsid w:val="009069B9"/>
    <w:rsid w:val="00907132"/>
    <w:rsid w:val="00907159"/>
    <w:rsid w:val="00913BC3"/>
    <w:rsid w:val="009215C0"/>
    <w:rsid w:val="009233F3"/>
    <w:rsid w:val="00926128"/>
    <w:rsid w:val="0092743F"/>
    <w:rsid w:val="00933BCC"/>
    <w:rsid w:val="00935DF6"/>
    <w:rsid w:val="00936F09"/>
    <w:rsid w:val="009400FD"/>
    <w:rsid w:val="00940EB4"/>
    <w:rsid w:val="00950F5C"/>
    <w:rsid w:val="00953BC4"/>
    <w:rsid w:val="00955650"/>
    <w:rsid w:val="0096007C"/>
    <w:rsid w:val="00972C9F"/>
    <w:rsid w:val="00973516"/>
    <w:rsid w:val="00991ADF"/>
    <w:rsid w:val="00996BF0"/>
    <w:rsid w:val="009A175D"/>
    <w:rsid w:val="009A1B82"/>
    <w:rsid w:val="009B419B"/>
    <w:rsid w:val="009B5B8A"/>
    <w:rsid w:val="009C100C"/>
    <w:rsid w:val="009C259C"/>
    <w:rsid w:val="009C310F"/>
    <w:rsid w:val="009C391D"/>
    <w:rsid w:val="009C3F8B"/>
    <w:rsid w:val="009C7666"/>
    <w:rsid w:val="009C76A4"/>
    <w:rsid w:val="009C7F79"/>
    <w:rsid w:val="009D6FDB"/>
    <w:rsid w:val="009E18BE"/>
    <w:rsid w:val="009E697E"/>
    <w:rsid w:val="009F191B"/>
    <w:rsid w:val="009F4729"/>
    <w:rsid w:val="009F4C1B"/>
    <w:rsid w:val="009F53A8"/>
    <w:rsid w:val="009F5C6A"/>
    <w:rsid w:val="009F63EF"/>
    <w:rsid w:val="00A06A4E"/>
    <w:rsid w:val="00A06F7A"/>
    <w:rsid w:val="00A15888"/>
    <w:rsid w:val="00A1632D"/>
    <w:rsid w:val="00A23638"/>
    <w:rsid w:val="00A36623"/>
    <w:rsid w:val="00A40DAE"/>
    <w:rsid w:val="00A41F74"/>
    <w:rsid w:val="00A45206"/>
    <w:rsid w:val="00A461D5"/>
    <w:rsid w:val="00A57B2F"/>
    <w:rsid w:val="00A57C7E"/>
    <w:rsid w:val="00A649D1"/>
    <w:rsid w:val="00A67675"/>
    <w:rsid w:val="00A8118A"/>
    <w:rsid w:val="00A853FC"/>
    <w:rsid w:val="00A9152F"/>
    <w:rsid w:val="00A937BD"/>
    <w:rsid w:val="00A9558C"/>
    <w:rsid w:val="00A95E99"/>
    <w:rsid w:val="00AA08F7"/>
    <w:rsid w:val="00AA1EC7"/>
    <w:rsid w:val="00AA5745"/>
    <w:rsid w:val="00AA5BD9"/>
    <w:rsid w:val="00AA64E3"/>
    <w:rsid w:val="00AB18F5"/>
    <w:rsid w:val="00AB3851"/>
    <w:rsid w:val="00AC766D"/>
    <w:rsid w:val="00AC7A2C"/>
    <w:rsid w:val="00AE0336"/>
    <w:rsid w:val="00AF18B7"/>
    <w:rsid w:val="00B01A62"/>
    <w:rsid w:val="00B02FAF"/>
    <w:rsid w:val="00B04692"/>
    <w:rsid w:val="00B0518B"/>
    <w:rsid w:val="00B063BE"/>
    <w:rsid w:val="00B12381"/>
    <w:rsid w:val="00B136D6"/>
    <w:rsid w:val="00B21FD0"/>
    <w:rsid w:val="00B22B0E"/>
    <w:rsid w:val="00B242CD"/>
    <w:rsid w:val="00B24CF2"/>
    <w:rsid w:val="00B2651F"/>
    <w:rsid w:val="00B31478"/>
    <w:rsid w:val="00B3355F"/>
    <w:rsid w:val="00B360A5"/>
    <w:rsid w:val="00B36BB2"/>
    <w:rsid w:val="00B36F1C"/>
    <w:rsid w:val="00B377EE"/>
    <w:rsid w:val="00B40176"/>
    <w:rsid w:val="00B42BF8"/>
    <w:rsid w:val="00B47C0E"/>
    <w:rsid w:val="00B87EF6"/>
    <w:rsid w:val="00B95CE8"/>
    <w:rsid w:val="00B969BB"/>
    <w:rsid w:val="00B971C8"/>
    <w:rsid w:val="00BA0E53"/>
    <w:rsid w:val="00BA432F"/>
    <w:rsid w:val="00BC3602"/>
    <w:rsid w:val="00BC3CB6"/>
    <w:rsid w:val="00BD04B3"/>
    <w:rsid w:val="00BD0DC1"/>
    <w:rsid w:val="00BD4CF8"/>
    <w:rsid w:val="00BD57EE"/>
    <w:rsid w:val="00BD6C69"/>
    <w:rsid w:val="00BE30F2"/>
    <w:rsid w:val="00BE76EC"/>
    <w:rsid w:val="00BF0E19"/>
    <w:rsid w:val="00C02182"/>
    <w:rsid w:val="00C050E9"/>
    <w:rsid w:val="00C10F62"/>
    <w:rsid w:val="00C110DF"/>
    <w:rsid w:val="00C12985"/>
    <w:rsid w:val="00C12CEB"/>
    <w:rsid w:val="00C16F42"/>
    <w:rsid w:val="00C328EA"/>
    <w:rsid w:val="00C43DA4"/>
    <w:rsid w:val="00C5456B"/>
    <w:rsid w:val="00C54FD3"/>
    <w:rsid w:val="00C569FD"/>
    <w:rsid w:val="00C616E9"/>
    <w:rsid w:val="00C61A70"/>
    <w:rsid w:val="00C62583"/>
    <w:rsid w:val="00C65161"/>
    <w:rsid w:val="00C65D6E"/>
    <w:rsid w:val="00C71E3D"/>
    <w:rsid w:val="00C74098"/>
    <w:rsid w:val="00C80CD8"/>
    <w:rsid w:val="00C812AE"/>
    <w:rsid w:val="00C83B8A"/>
    <w:rsid w:val="00C87396"/>
    <w:rsid w:val="00C91757"/>
    <w:rsid w:val="00CA5690"/>
    <w:rsid w:val="00CA56D5"/>
    <w:rsid w:val="00CA56FD"/>
    <w:rsid w:val="00CA62D0"/>
    <w:rsid w:val="00CB125C"/>
    <w:rsid w:val="00CB582F"/>
    <w:rsid w:val="00CC3164"/>
    <w:rsid w:val="00CC77CE"/>
    <w:rsid w:val="00CC7DD9"/>
    <w:rsid w:val="00CD0FEE"/>
    <w:rsid w:val="00CD1EDD"/>
    <w:rsid w:val="00CD283D"/>
    <w:rsid w:val="00CD3215"/>
    <w:rsid w:val="00CF09E6"/>
    <w:rsid w:val="00CF31E1"/>
    <w:rsid w:val="00CF33DE"/>
    <w:rsid w:val="00CF63B9"/>
    <w:rsid w:val="00D0247C"/>
    <w:rsid w:val="00D05EAF"/>
    <w:rsid w:val="00D124DB"/>
    <w:rsid w:val="00D4257D"/>
    <w:rsid w:val="00D43E4C"/>
    <w:rsid w:val="00D43E50"/>
    <w:rsid w:val="00D470B5"/>
    <w:rsid w:val="00D549B9"/>
    <w:rsid w:val="00D56BF6"/>
    <w:rsid w:val="00D66DA6"/>
    <w:rsid w:val="00D85CB1"/>
    <w:rsid w:val="00D93402"/>
    <w:rsid w:val="00D935CB"/>
    <w:rsid w:val="00D968C5"/>
    <w:rsid w:val="00D97251"/>
    <w:rsid w:val="00DA043B"/>
    <w:rsid w:val="00DA7772"/>
    <w:rsid w:val="00DB251F"/>
    <w:rsid w:val="00DB5450"/>
    <w:rsid w:val="00DB5925"/>
    <w:rsid w:val="00DB5B53"/>
    <w:rsid w:val="00DC1675"/>
    <w:rsid w:val="00DC19C0"/>
    <w:rsid w:val="00DD234A"/>
    <w:rsid w:val="00DD451A"/>
    <w:rsid w:val="00DE0512"/>
    <w:rsid w:val="00DE1B41"/>
    <w:rsid w:val="00DE2F0C"/>
    <w:rsid w:val="00DE6658"/>
    <w:rsid w:val="00DF175A"/>
    <w:rsid w:val="00DF57A8"/>
    <w:rsid w:val="00E01BEF"/>
    <w:rsid w:val="00E10118"/>
    <w:rsid w:val="00E14E83"/>
    <w:rsid w:val="00E202F3"/>
    <w:rsid w:val="00E222C6"/>
    <w:rsid w:val="00E31328"/>
    <w:rsid w:val="00E315E5"/>
    <w:rsid w:val="00E402D5"/>
    <w:rsid w:val="00E44E82"/>
    <w:rsid w:val="00E62FE9"/>
    <w:rsid w:val="00E6453D"/>
    <w:rsid w:val="00E676C2"/>
    <w:rsid w:val="00E76845"/>
    <w:rsid w:val="00E82879"/>
    <w:rsid w:val="00E9698B"/>
    <w:rsid w:val="00E97EE4"/>
    <w:rsid w:val="00E97FFC"/>
    <w:rsid w:val="00EA04D6"/>
    <w:rsid w:val="00EA33D1"/>
    <w:rsid w:val="00EA5006"/>
    <w:rsid w:val="00EA50EC"/>
    <w:rsid w:val="00EB28CC"/>
    <w:rsid w:val="00EB73D5"/>
    <w:rsid w:val="00EC14EE"/>
    <w:rsid w:val="00EC5495"/>
    <w:rsid w:val="00ED0B38"/>
    <w:rsid w:val="00ED0CDB"/>
    <w:rsid w:val="00ED5B1C"/>
    <w:rsid w:val="00EE1847"/>
    <w:rsid w:val="00EE1D83"/>
    <w:rsid w:val="00EE7568"/>
    <w:rsid w:val="00F20E4B"/>
    <w:rsid w:val="00F22FB8"/>
    <w:rsid w:val="00F23022"/>
    <w:rsid w:val="00F26E46"/>
    <w:rsid w:val="00F33091"/>
    <w:rsid w:val="00F35066"/>
    <w:rsid w:val="00F4110B"/>
    <w:rsid w:val="00F457FB"/>
    <w:rsid w:val="00F50A91"/>
    <w:rsid w:val="00F5495A"/>
    <w:rsid w:val="00F54C5D"/>
    <w:rsid w:val="00F67524"/>
    <w:rsid w:val="00F75ABC"/>
    <w:rsid w:val="00F77560"/>
    <w:rsid w:val="00F83339"/>
    <w:rsid w:val="00F847E0"/>
    <w:rsid w:val="00F861F9"/>
    <w:rsid w:val="00F86791"/>
    <w:rsid w:val="00F86DF3"/>
    <w:rsid w:val="00F86F89"/>
    <w:rsid w:val="00F91B61"/>
    <w:rsid w:val="00F9432B"/>
    <w:rsid w:val="00F96D1A"/>
    <w:rsid w:val="00FA09BA"/>
    <w:rsid w:val="00FA2B9B"/>
    <w:rsid w:val="00FA5023"/>
    <w:rsid w:val="00FA6300"/>
    <w:rsid w:val="00FB5570"/>
    <w:rsid w:val="00FB7454"/>
    <w:rsid w:val="00FC206D"/>
    <w:rsid w:val="00FD5650"/>
    <w:rsid w:val="00FD571A"/>
    <w:rsid w:val="00FE1942"/>
    <w:rsid w:val="00FE1C99"/>
    <w:rsid w:val="00FE4171"/>
    <w:rsid w:val="00FE5576"/>
    <w:rsid w:val="00FF23A3"/>
    <w:rsid w:val="00FF51EF"/>
    <w:rsid w:val="010F3B4F"/>
    <w:rsid w:val="0195020E"/>
    <w:rsid w:val="024960FC"/>
    <w:rsid w:val="025C7268"/>
    <w:rsid w:val="02714395"/>
    <w:rsid w:val="02720839"/>
    <w:rsid w:val="02A91D81"/>
    <w:rsid w:val="02BE582C"/>
    <w:rsid w:val="02C95F7F"/>
    <w:rsid w:val="02D12C71"/>
    <w:rsid w:val="030A0A72"/>
    <w:rsid w:val="03304250"/>
    <w:rsid w:val="036839EA"/>
    <w:rsid w:val="036F4D79"/>
    <w:rsid w:val="03912F41"/>
    <w:rsid w:val="0396029B"/>
    <w:rsid w:val="03B92498"/>
    <w:rsid w:val="03F54CAD"/>
    <w:rsid w:val="042F62B6"/>
    <w:rsid w:val="04826D2E"/>
    <w:rsid w:val="04D035F5"/>
    <w:rsid w:val="053A4F12"/>
    <w:rsid w:val="05467D5B"/>
    <w:rsid w:val="056F2E0E"/>
    <w:rsid w:val="059E7B97"/>
    <w:rsid w:val="05A86320"/>
    <w:rsid w:val="05AF1BA5"/>
    <w:rsid w:val="05B80C59"/>
    <w:rsid w:val="05D13AC9"/>
    <w:rsid w:val="05D9297D"/>
    <w:rsid w:val="06110369"/>
    <w:rsid w:val="063D115E"/>
    <w:rsid w:val="06840B3B"/>
    <w:rsid w:val="06C929F2"/>
    <w:rsid w:val="06FD269B"/>
    <w:rsid w:val="07267E44"/>
    <w:rsid w:val="074107DA"/>
    <w:rsid w:val="07BE62CF"/>
    <w:rsid w:val="07DE24CD"/>
    <w:rsid w:val="07FE491D"/>
    <w:rsid w:val="08253C58"/>
    <w:rsid w:val="085207C5"/>
    <w:rsid w:val="08A30214"/>
    <w:rsid w:val="08A62997"/>
    <w:rsid w:val="08AC4379"/>
    <w:rsid w:val="08AE00F1"/>
    <w:rsid w:val="08AF79C5"/>
    <w:rsid w:val="08B84ACC"/>
    <w:rsid w:val="08E12275"/>
    <w:rsid w:val="08FF094D"/>
    <w:rsid w:val="096E76E9"/>
    <w:rsid w:val="09817636"/>
    <w:rsid w:val="09F47D86"/>
    <w:rsid w:val="0A1A0496"/>
    <w:rsid w:val="0A634F0B"/>
    <w:rsid w:val="0AA96DC2"/>
    <w:rsid w:val="0AC41E4E"/>
    <w:rsid w:val="0AE71698"/>
    <w:rsid w:val="0B093D05"/>
    <w:rsid w:val="0B10188D"/>
    <w:rsid w:val="0B4B7E79"/>
    <w:rsid w:val="0B534F80"/>
    <w:rsid w:val="0B6078E4"/>
    <w:rsid w:val="0B680A2B"/>
    <w:rsid w:val="0B786794"/>
    <w:rsid w:val="0B9405D3"/>
    <w:rsid w:val="0B9C06D5"/>
    <w:rsid w:val="0C085D6A"/>
    <w:rsid w:val="0C0F0EA7"/>
    <w:rsid w:val="0C2B3807"/>
    <w:rsid w:val="0C5E3BDC"/>
    <w:rsid w:val="0C6805B7"/>
    <w:rsid w:val="0CD36378"/>
    <w:rsid w:val="0CE02843"/>
    <w:rsid w:val="0CF34325"/>
    <w:rsid w:val="0D044784"/>
    <w:rsid w:val="0D9A6E96"/>
    <w:rsid w:val="0E1A3B33"/>
    <w:rsid w:val="0E26697C"/>
    <w:rsid w:val="0E407A3D"/>
    <w:rsid w:val="0E797CAB"/>
    <w:rsid w:val="0EAF6971"/>
    <w:rsid w:val="0F0C0596"/>
    <w:rsid w:val="0F0E0BA4"/>
    <w:rsid w:val="0F392594"/>
    <w:rsid w:val="0F582B65"/>
    <w:rsid w:val="0F6C6610"/>
    <w:rsid w:val="0FF46F63"/>
    <w:rsid w:val="10150A56"/>
    <w:rsid w:val="106E3B88"/>
    <w:rsid w:val="109A0F5B"/>
    <w:rsid w:val="109E6C9D"/>
    <w:rsid w:val="10C30409"/>
    <w:rsid w:val="10E32902"/>
    <w:rsid w:val="10F90377"/>
    <w:rsid w:val="112F0D98"/>
    <w:rsid w:val="11380EA0"/>
    <w:rsid w:val="114710E3"/>
    <w:rsid w:val="118714DF"/>
    <w:rsid w:val="11C16354"/>
    <w:rsid w:val="11ED1C8A"/>
    <w:rsid w:val="12152F8F"/>
    <w:rsid w:val="123F4FAD"/>
    <w:rsid w:val="125A4E46"/>
    <w:rsid w:val="126857B5"/>
    <w:rsid w:val="130628D8"/>
    <w:rsid w:val="13734411"/>
    <w:rsid w:val="137D2B9A"/>
    <w:rsid w:val="13946135"/>
    <w:rsid w:val="13E56991"/>
    <w:rsid w:val="13EE3A98"/>
    <w:rsid w:val="13F015BE"/>
    <w:rsid w:val="13F15336"/>
    <w:rsid w:val="13F82B68"/>
    <w:rsid w:val="140408B0"/>
    <w:rsid w:val="140F3276"/>
    <w:rsid w:val="143D255C"/>
    <w:rsid w:val="145204CA"/>
    <w:rsid w:val="14D02997"/>
    <w:rsid w:val="14D6283F"/>
    <w:rsid w:val="14DA4705"/>
    <w:rsid w:val="153D4CD7"/>
    <w:rsid w:val="154C188A"/>
    <w:rsid w:val="15761F97"/>
    <w:rsid w:val="15B47271"/>
    <w:rsid w:val="15DF5D8E"/>
    <w:rsid w:val="16161084"/>
    <w:rsid w:val="16282960"/>
    <w:rsid w:val="167C538B"/>
    <w:rsid w:val="16826719"/>
    <w:rsid w:val="16A2279C"/>
    <w:rsid w:val="16B26FFE"/>
    <w:rsid w:val="16D36F75"/>
    <w:rsid w:val="16E66CA8"/>
    <w:rsid w:val="16E80C72"/>
    <w:rsid w:val="17084E70"/>
    <w:rsid w:val="174B7ED5"/>
    <w:rsid w:val="1752433D"/>
    <w:rsid w:val="17951125"/>
    <w:rsid w:val="17C3523B"/>
    <w:rsid w:val="187A1D9E"/>
    <w:rsid w:val="18C179CD"/>
    <w:rsid w:val="18DB55E0"/>
    <w:rsid w:val="19027438"/>
    <w:rsid w:val="19051BAC"/>
    <w:rsid w:val="194B54E8"/>
    <w:rsid w:val="19BE215E"/>
    <w:rsid w:val="19D63004"/>
    <w:rsid w:val="19FA13E8"/>
    <w:rsid w:val="1A0F4768"/>
    <w:rsid w:val="1AC75042"/>
    <w:rsid w:val="1AC83294"/>
    <w:rsid w:val="1AE87493"/>
    <w:rsid w:val="1B222279"/>
    <w:rsid w:val="1B4668DD"/>
    <w:rsid w:val="1B4D5548"/>
    <w:rsid w:val="1B593EEC"/>
    <w:rsid w:val="1B6050F1"/>
    <w:rsid w:val="1B903F1A"/>
    <w:rsid w:val="1B996A11"/>
    <w:rsid w:val="1BE27A91"/>
    <w:rsid w:val="1BE92D8D"/>
    <w:rsid w:val="1C220782"/>
    <w:rsid w:val="1C420633"/>
    <w:rsid w:val="1C433AA4"/>
    <w:rsid w:val="1C6C40F3"/>
    <w:rsid w:val="1C7D1E5D"/>
    <w:rsid w:val="1CC25AC1"/>
    <w:rsid w:val="1CF10155"/>
    <w:rsid w:val="1D047E88"/>
    <w:rsid w:val="1D11134B"/>
    <w:rsid w:val="1D1D719C"/>
    <w:rsid w:val="1D6B7F07"/>
    <w:rsid w:val="1DE22BEF"/>
    <w:rsid w:val="1DE25065"/>
    <w:rsid w:val="1E276524"/>
    <w:rsid w:val="1E5C1008"/>
    <w:rsid w:val="1EA02FFA"/>
    <w:rsid w:val="1EA14790"/>
    <w:rsid w:val="1EF81C6E"/>
    <w:rsid w:val="1EFB52BB"/>
    <w:rsid w:val="1F334A54"/>
    <w:rsid w:val="1F375813"/>
    <w:rsid w:val="1F576995"/>
    <w:rsid w:val="1F720A34"/>
    <w:rsid w:val="1F7F7C9A"/>
    <w:rsid w:val="1F900295"/>
    <w:rsid w:val="1FA92F69"/>
    <w:rsid w:val="1FF3793B"/>
    <w:rsid w:val="203E1903"/>
    <w:rsid w:val="20580C17"/>
    <w:rsid w:val="20AE0E85"/>
    <w:rsid w:val="20B16579"/>
    <w:rsid w:val="20C462AC"/>
    <w:rsid w:val="20C91B14"/>
    <w:rsid w:val="212E1977"/>
    <w:rsid w:val="21414D1F"/>
    <w:rsid w:val="214F0403"/>
    <w:rsid w:val="21701F90"/>
    <w:rsid w:val="21817CF9"/>
    <w:rsid w:val="218B6DCA"/>
    <w:rsid w:val="21B31E7D"/>
    <w:rsid w:val="21CB5418"/>
    <w:rsid w:val="21D97B35"/>
    <w:rsid w:val="21F04E7F"/>
    <w:rsid w:val="220F17A9"/>
    <w:rsid w:val="22813D29"/>
    <w:rsid w:val="228C4BA7"/>
    <w:rsid w:val="2298179E"/>
    <w:rsid w:val="229972C4"/>
    <w:rsid w:val="22D622C7"/>
    <w:rsid w:val="231217C0"/>
    <w:rsid w:val="23256DAA"/>
    <w:rsid w:val="232B2612"/>
    <w:rsid w:val="232C0139"/>
    <w:rsid w:val="23353491"/>
    <w:rsid w:val="23D902C0"/>
    <w:rsid w:val="23FA0237"/>
    <w:rsid w:val="23FC5D5D"/>
    <w:rsid w:val="24253506"/>
    <w:rsid w:val="24376D95"/>
    <w:rsid w:val="24401B31"/>
    <w:rsid w:val="249146F7"/>
    <w:rsid w:val="24AD4F4F"/>
    <w:rsid w:val="24C91E6F"/>
    <w:rsid w:val="24F66C50"/>
    <w:rsid w:val="24FB55B8"/>
    <w:rsid w:val="2500187D"/>
    <w:rsid w:val="250A26FB"/>
    <w:rsid w:val="25411583"/>
    <w:rsid w:val="25951FC5"/>
    <w:rsid w:val="259A75DB"/>
    <w:rsid w:val="25B3069D"/>
    <w:rsid w:val="25B54415"/>
    <w:rsid w:val="25C1100C"/>
    <w:rsid w:val="25CD79B1"/>
    <w:rsid w:val="25DD396C"/>
    <w:rsid w:val="26284BE7"/>
    <w:rsid w:val="26404627"/>
    <w:rsid w:val="26415CA9"/>
    <w:rsid w:val="2661634B"/>
    <w:rsid w:val="266A3452"/>
    <w:rsid w:val="26911FEB"/>
    <w:rsid w:val="269B7AAF"/>
    <w:rsid w:val="26C30DB4"/>
    <w:rsid w:val="271138CD"/>
    <w:rsid w:val="272F01F7"/>
    <w:rsid w:val="275E288B"/>
    <w:rsid w:val="27673E35"/>
    <w:rsid w:val="278542BB"/>
    <w:rsid w:val="27B16E5E"/>
    <w:rsid w:val="27D36DD5"/>
    <w:rsid w:val="27DF5779"/>
    <w:rsid w:val="27EB5B18"/>
    <w:rsid w:val="27FC27CF"/>
    <w:rsid w:val="2811569A"/>
    <w:rsid w:val="28237C1C"/>
    <w:rsid w:val="284C209E"/>
    <w:rsid w:val="28814A83"/>
    <w:rsid w:val="28A7183F"/>
    <w:rsid w:val="28D75297"/>
    <w:rsid w:val="28FB65E3"/>
    <w:rsid w:val="292024ED"/>
    <w:rsid w:val="29657F00"/>
    <w:rsid w:val="29A94291"/>
    <w:rsid w:val="29DF6DD8"/>
    <w:rsid w:val="2A273408"/>
    <w:rsid w:val="2A4C2E6E"/>
    <w:rsid w:val="2A4E4E38"/>
    <w:rsid w:val="2A636647"/>
    <w:rsid w:val="2A7E21F6"/>
    <w:rsid w:val="2A8B3997"/>
    <w:rsid w:val="2AA170D3"/>
    <w:rsid w:val="2AA36F32"/>
    <w:rsid w:val="2ABE5B1A"/>
    <w:rsid w:val="2AC60E73"/>
    <w:rsid w:val="2AC9671B"/>
    <w:rsid w:val="2AD0584D"/>
    <w:rsid w:val="2AD62853"/>
    <w:rsid w:val="2B02634F"/>
    <w:rsid w:val="2B3C2EE3"/>
    <w:rsid w:val="2B9920E3"/>
    <w:rsid w:val="2BAD73FF"/>
    <w:rsid w:val="2BB34ADE"/>
    <w:rsid w:val="2BC96E6C"/>
    <w:rsid w:val="2BD90945"/>
    <w:rsid w:val="2BEE5AF4"/>
    <w:rsid w:val="2C131E96"/>
    <w:rsid w:val="2C2440A3"/>
    <w:rsid w:val="2C2E3EB6"/>
    <w:rsid w:val="2CE35D0C"/>
    <w:rsid w:val="2CEA709A"/>
    <w:rsid w:val="2D55028C"/>
    <w:rsid w:val="2D746964"/>
    <w:rsid w:val="2D947006"/>
    <w:rsid w:val="2DB70688"/>
    <w:rsid w:val="2E1600D7"/>
    <w:rsid w:val="2E20089A"/>
    <w:rsid w:val="2E7035CF"/>
    <w:rsid w:val="2E7D3F3E"/>
    <w:rsid w:val="2E85181C"/>
    <w:rsid w:val="2EB72FAC"/>
    <w:rsid w:val="2EEE0998"/>
    <w:rsid w:val="2EFF6701"/>
    <w:rsid w:val="2F1E127D"/>
    <w:rsid w:val="2F3B5F3F"/>
    <w:rsid w:val="2F9B28CE"/>
    <w:rsid w:val="2FB4573E"/>
    <w:rsid w:val="2FD933F6"/>
    <w:rsid w:val="2FFD70E5"/>
    <w:rsid w:val="3007305F"/>
    <w:rsid w:val="307D6477"/>
    <w:rsid w:val="30A92E82"/>
    <w:rsid w:val="30B06208"/>
    <w:rsid w:val="31434FCB"/>
    <w:rsid w:val="316A6792"/>
    <w:rsid w:val="31767495"/>
    <w:rsid w:val="323A6E2B"/>
    <w:rsid w:val="323C2E8C"/>
    <w:rsid w:val="32582F87"/>
    <w:rsid w:val="325B4596"/>
    <w:rsid w:val="32755658"/>
    <w:rsid w:val="328238D1"/>
    <w:rsid w:val="32AD45EC"/>
    <w:rsid w:val="33173635"/>
    <w:rsid w:val="33323549"/>
    <w:rsid w:val="33356B95"/>
    <w:rsid w:val="334278E5"/>
    <w:rsid w:val="33802506"/>
    <w:rsid w:val="33B30C2F"/>
    <w:rsid w:val="33BE6521"/>
    <w:rsid w:val="33BE6B8B"/>
    <w:rsid w:val="33BF2903"/>
    <w:rsid w:val="33C66680"/>
    <w:rsid w:val="33D12D62"/>
    <w:rsid w:val="3409604F"/>
    <w:rsid w:val="34627E5E"/>
    <w:rsid w:val="346D4B46"/>
    <w:rsid w:val="347A2D09"/>
    <w:rsid w:val="34802092"/>
    <w:rsid w:val="34AA710F"/>
    <w:rsid w:val="34B63D06"/>
    <w:rsid w:val="34E268A9"/>
    <w:rsid w:val="34EE0E3F"/>
    <w:rsid w:val="34F565DC"/>
    <w:rsid w:val="35026F4B"/>
    <w:rsid w:val="351A6043"/>
    <w:rsid w:val="352769B2"/>
    <w:rsid w:val="35867B7C"/>
    <w:rsid w:val="35A26038"/>
    <w:rsid w:val="35A818A1"/>
    <w:rsid w:val="35AE2C2F"/>
    <w:rsid w:val="35C661CB"/>
    <w:rsid w:val="35FC399A"/>
    <w:rsid w:val="3600792F"/>
    <w:rsid w:val="36252F66"/>
    <w:rsid w:val="36343134"/>
    <w:rsid w:val="363870C8"/>
    <w:rsid w:val="36453593"/>
    <w:rsid w:val="3690482A"/>
    <w:rsid w:val="36E52BA1"/>
    <w:rsid w:val="36FF1994"/>
    <w:rsid w:val="370276D6"/>
    <w:rsid w:val="371D1E1A"/>
    <w:rsid w:val="375311D4"/>
    <w:rsid w:val="37BA3B0D"/>
    <w:rsid w:val="37CE6938"/>
    <w:rsid w:val="37E97D22"/>
    <w:rsid w:val="380E175D"/>
    <w:rsid w:val="386A5533"/>
    <w:rsid w:val="3894610C"/>
    <w:rsid w:val="38A45E3B"/>
    <w:rsid w:val="38A74091"/>
    <w:rsid w:val="390A63CE"/>
    <w:rsid w:val="391B4A7F"/>
    <w:rsid w:val="395B4E7C"/>
    <w:rsid w:val="39606235"/>
    <w:rsid w:val="39665CFB"/>
    <w:rsid w:val="397D27F8"/>
    <w:rsid w:val="39C87740"/>
    <w:rsid w:val="39CD5D7A"/>
    <w:rsid w:val="39F350B4"/>
    <w:rsid w:val="39FE4185"/>
    <w:rsid w:val="3A081C12"/>
    <w:rsid w:val="3A3F02FA"/>
    <w:rsid w:val="3A98265A"/>
    <w:rsid w:val="3B1F0857"/>
    <w:rsid w:val="3B1F2605"/>
    <w:rsid w:val="3B295148"/>
    <w:rsid w:val="3B2C4D22"/>
    <w:rsid w:val="3B314C80"/>
    <w:rsid w:val="3B516536"/>
    <w:rsid w:val="3B563B4D"/>
    <w:rsid w:val="3B6D63D8"/>
    <w:rsid w:val="3B85200C"/>
    <w:rsid w:val="3BB75693"/>
    <w:rsid w:val="3BFC64A2"/>
    <w:rsid w:val="3C283013"/>
    <w:rsid w:val="3CAF1867"/>
    <w:rsid w:val="3CBA010B"/>
    <w:rsid w:val="3CFB49AC"/>
    <w:rsid w:val="3D225295"/>
    <w:rsid w:val="3D3A5F7D"/>
    <w:rsid w:val="3D736C38"/>
    <w:rsid w:val="3DE418E4"/>
    <w:rsid w:val="3E247789"/>
    <w:rsid w:val="3E864749"/>
    <w:rsid w:val="3EA6303D"/>
    <w:rsid w:val="3EF15C5D"/>
    <w:rsid w:val="3F1E7077"/>
    <w:rsid w:val="3F3F1BFB"/>
    <w:rsid w:val="3F6A302D"/>
    <w:rsid w:val="3FA4132B"/>
    <w:rsid w:val="3FFD0A3B"/>
    <w:rsid w:val="4001677D"/>
    <w:rsid w:val="4013025E"/>
    <w:rsid w:val="40336D1D"/>
    <w:rsid w:val="404F3252"/>
    <w:rsid w:val="4057639D"/>
    <w:rsid w:val="40A5441E"/>
    <w:rsid w:val="40AE7F87"/>
    <w:rsid w:val="40B0200E"/>
    <w:rsid w:val="411C3143"/>
    <w:rsid w:val="41586871"/>
    <w:rsid w:val="415D5C35"/>
    <w:rsid w:val="41901FD5"/>
    <w:rsid w:val="41B769D9"/>
    <w:rsid w:val="41F45E6E"/>
    <w:rsid w:val="422C3859"/>
    <w:rsid w:val="42611755"/>
    <w:rsid w:val="42A41642"/>
    <w:rsid w:val="42CC4A5E"/>
    <w:rsid w:val="42D55390"/>
    <w:rsid w:val="434075BC"/>
    <w:rsid w:val="43993170"/>
    <w:rsid w:val="43AC3DC3"/>
    <w:rsid w:val="43F108B7"/>
    <w:rsid w:val="443B5FD6"/>
    <w:rsid w:val="44817E8C"/>
    <w:rsid w:val="449B0822"/>
    <w:rsid w:val="44AE0556"/>
    <w:rsid w:val="44D26FD8"/>
    <w:rsid w:val="44EB79FC"/>
    <w:rsid w:val="452B1BA6"/>
    <w:rsid w:val="453942C3"/>
    <w:rsid w:val="45487201"/>
    <w:rsid w:val="454E02EA"/>
    <w:rsid w:val="454F1D39"/>
    <w:rsid w:val="455410FD"/>
    <w:rsid w:val="45B813A0"/>
    <w:rsid w:val="45C219E9"/>
    <w:rsid w:val="45C40594"/>
    <w:rsid w:val="45E6103A"/>
    <w:rsid w:val="46207231"/>
    <w:rsid w:val="465B64BB"/>
    <w:rsid w:val="46D63D94"/>
    <w:rsid w:val="471843AC"/>
    <w:rsid w:val="47254212"/>
    <w:rsid w:val="47282841"/>
    <w:rsid w:val="47C0218A"/>
    <w:rsid w:val="48164D90"/>
    <w:rsid w:val="482D3E87"/>
    <w:rsid w:val="487966CA"/>
    <w:rsid w:val="487B1097"/>
    <w:rsid w:val="48873598"/>
    <w:rsid w:val="488C5052"/>
    <w:rsid w:val="48C22822"/>
    <w:rsid w:val="49492F43"/>
    <w:rsid w:val="494B0A69"/>
    <w:rsid w:val="49667651"/>
    <w:rsid w:val="49816239"/>
    <w:rsid w:val="49BF4FB3"/>
    <w:rsid w:val="4A062BE2"/>
    <w:rsid w:val="4A282B58"/>
    <w:rsid w:val="4A8974B8"/>
    <w:rsid w:val="4B2B7694"/>
    <w:rsid w:val="4B2E0642"/>
    <w:rsid w:val="4B6B53F2"/>
    <w:rsid w:val="4B840262"/>
    <w:rsid w:val="4BF03B4A"/>
    <w:rsid w:val="4BF947AC"/>
    <w:rsid w:val="4C324162"/>
    <w:rsid w:val="4C59524B"/>
    <w:rsid w:val="4C6E33FE"/>
    <w:rsid w:val="4CB13471"/>
    <w:rsid w:val="4DD252B5"/>
    <w:rsid w:val="4DD5087C"/>
    <w:rsid w:val="4E1538D9"/>
    <w:rsid w:val="4E1C0C26"/>
    <w:rsid w:val="4E1E61A6"/>
    <w:rsid w:val="4E377FE7"/>
    <w:rsid w:val="4E3A10AC"/>
    <w:rsid w:val="4E453CD9"/>
    <w:rsid w:val="4E4D5283"/>
    <w:rsid w:val="4E881E17"/>
    <w:rsid w:val="4EB250E6"/>
    <w:rsid w:val="4EBB21ED"/>
    <w:rsid w:val="4EC76DE4"/>
    <w:rsid w:val="4EEA0D24"/>
    <w:rsid w:val="4F1813ED"/>
    <w:rsid w:val="4F1D6E5E"/>
    <w:rsid w:val="4F537ED5"/>
    <w:rsid w:val="4F5F6527"/>
    <w:rsid w:val="4F9F566B"/>
    <w:rsid w:val="4FC41575"/>
    <w:rsid w:val="4FC450D1"/>
    <w:rsid w:val="4FED4628"/>
    <w:rsid w:val="50463D38"/>
    <w:rsid w:val="50BB0282"/>
    <w:rsid w:val="51962A9D"/>
    <w:rsid w:val="51D35A9F"/>
    <w:rsid w:val="5200380D"/>
    <w:rsid w:val="52231009"/>
    <w:rsid w:val="523F3135"/>
    <w:rsid w:val="5290573F"/>
    <w:rsid w:val="52A4406E"/>
    <w:rsid w:val="52AA6800"/>
    <w:rsid w:val="52D63A99"/>
    <w:rsid w:val="53081779"/>
    <w:rsid w:val="53334A48"/>
    <w:rsid w:val="5334431C"/>
    <w:rsid w:val="53D17DBD"/>
    <w:rsid w:val="53D33B35"/>
    <w:rsid w:val="53D97921"/>
    <w:rsid w:val="53DA4EC3"/>
    <w:rsid w:val="53DD1E8D"/>
    <w:rsid w:val="53F87A3F"/>
    <w:rsid w:val="54124D95"/>
    <w:rsid w:val="54322F51"/>
    <w:rsid w:val="547C241E"/>
    <w:rsid w:val="548C2B0C"/>
    <w:rsid w:val="549E4143"/>
    <w:rsid w:val="549F0701"/>
    <w:rsid w:val="54D9517B"/>
    <w:rsid w:val="54ED3248"/>
    <w:rsid w:val="54ED6E78"/>
    <w:rsid w:val="55102B67"/>
    <w:rsid w:val="553B4087"/>
    <w:rsid w:val="554F1D47"/>
    <w:rsid w:val="555811B8"/>
    <w:rsid w:val="556A671B"/>
    <w:rsid w:val="55774994"/>
    <w:rsid w:val="55D3606E"/>
    <w:rsid w:val="560B1CAC"/>
    <w:rsid w:val="561A1030"/>
    <w:rsid w:val="5649511F"/>
    <w:rsid w:val="566A39BE"/>
    <w:rsid w:val="56AD68BF"/>
    <w:rsid w:val="56CA56C3"/>
    <w:rsid w:val="56FA762A"/>
    <w:rsid w:val="57062473"/>
    <w:rsid w:val="571458B9"/>
    <w:rsid w:val="571526B6"/>
    <w:rsid w:val="57284198"/>
    <w:rsid w:val="572B3C88"/>
    <w:rsid w:val="575073BB"/>
    <w:rsid w:val="57537663"/>
    <w:rsid w:val="576378C6"/>
    <w:rsid w:val="580544D9"/>
    <w:rsid w:val="58095D77"/>
    <w:rsid w:val="581B4E1B"/>
    <w:rsid w:val="587358E6"/>
    <w:rsid w:val="58C779E0"/>
    <w:rsid w:val="58D84F64"/>
    <w:rsid w:val="59127C6D"/>
    <w:rsid w:val="591470C9"/>
    <w:rsid w:val="59396D7D"/>
    <w:rsid w:val="593A6404"/>
    <w:rsid w:val="59643FFD"/>
    <w:rsid w:val="59741916"/>
    <w:rsid w:val="59C168FA"/>
    <w:rsid w:val="59DB7649"/>
    <w:rsid w:val="5A1E1882"/>
    <w:rsid w:val="5A985AD8"/>
    <w:rsid w:val="5AC32B55"/>
    <w:rsid w:val="5B172EA1"/>
    <w:rsid w:val="5B1E5FDD"/>
    <w:rsid w:val="5B2F01EA"/>
    <w:rsid w:val="5BCD355F"/>
    <w:rsid w:val="5BF31218"/>
    <w:rsid w:val="5C601696"/>
    <w:rsid w:val="5C677510"/>
    <w:rsid w:val="5CA644DC"/>
    <w:rsid w:val="5CB309A7"/>
    <w:rsid w:val="5CDF3840"/>
    <w:rsid w:val="5D0F4485"/>
    <w:rsid w:val="5D1B3CB5"/>
    <w:rsid w:val="5D4930BA"/>
    <w:rsid w:val="5D540D6B"/>
    <w:rsid w:val="5D700646"/>
    <w:rsid w:val="5D8E2EC3"/>
    <w:rsid w:val="5D916F3A"/>
    <w:rsid w:val="5DA106AC"/>
    <w:rsid w:val="5DAF5613"/>
    <w:rsid w:val="5DD961EC"/>
    <w:rsid w:val="5DE51034"/>
    <w:rsid w:val="5DEF5A0F"/>
    <w:rsid w:val="5DF9688E"/>
    <w:rsid w:val="5E137929"/>
    <w:rsid w:val="5E820631"/>
    <w:rsid w:val="5EA507C4"/>
    <w:rsid w:val="5EAA39AC"/>
    <w:rsid w:val="5EB822A5"/>
    <w:rsid w:val="5EB86740"/>
    <w:rsid w:val="5EEA61D6"/>
    <w:rsid w:val="5EEE216B"/>
    <w:rsid w:val="5F092B01"/>
    <w:rsid w:val="5F2B2A77"/>
    <w:rsid w:val="5F4D6E91"/>
    <w:rsid w:val="5F7A39FE"/>
    <w:rsid w:val="5F8B79B9"/>
    <w:rsid w:val="5FC52ECB"/>
    <w:rsid w:val="5FD56414"/>
    <w:rsid w:val="5FEB0458"/>
    <w:rsid w:val="5FF4730D"/>
    <w:rsid w:val="5FF94923"/>
    <w:rsid w:val="602A2D2E"/>
    <w:rsid w:val="60455DBA"/>
    <w:rsid w:val="606F4BE5"/>
    <w:rsid w:val="6074044E"/>
    <w:rsid w:val="607A55CC"/>
    <w:rsid w:val="60805044"/>
    <w:rsid w:val="60C76FA3"/>
    <w:rsid w:val="60F82E2D"/>
    <w:rsid w:val="610B183C"/>
    <w:rsid w:val="61131A15"/>
    <w:rsid w:val="612B1454"/>
    <w:rsid w:val="614D13CA"/>
    <w:rsid w:val="6154199C"/>
    <w:rsid w:val="615C160D"/>
    <w:rsid w:val="615C785F"/>
    <w:rsid w:val="616A14E3"/>
    <w:rsid w:val="617D305C"/>
    <w:rsid w:val="61B054B5"/>
    <w:rsid w:val="61D54F1C"/>
    <w:rsid w:val="61ED42C5"/>
    <w:rsid w:val="62165C60"/>
    <w:rsid w:val="62210161"/>
    <w:rsid w:val="62D578C9"/>
    <w:rsid w:val="62F942A3"/>
    <w:rsid w:val="62FD4E57"/>
    <w:rsid w:val="63367FB1"/>
    <w:rsid w:val="63402869"/>
    <w:rsid w:val="63493E13"/>
    <w:rsid w:val="635F5DFC"/>
    <w:rsid w:val="63BD18E0"/>
    <w:rsid w:val="63BF5E84"/>
    <w:rsid w:val="63CF5EC7"/>
    <w:rsid w:val="63D52A24"/>
    <w:rsid w:val="64033FC2"/>
    <w:rsid w:val="641E704E"/>
    <w:rsid w:val="6429154F"/>
    <w:rsid w:val="64487C27"/>
    <w:rsid w:val="646031C3"/>
    <w:rsid w:val="64A70DF2"/>
    <w:rsid w:val="64CD6062"/>
    <w:rsid w:val="64D15E6F"/>
    <w:rsid w:val="64DB0A9B"/>
    <w:rsid w:val="65306659"/>
    <w:rsid w:val="6554084E"/>
    <w:rsid w:val="658C7FE7"/>
    <w:rsid w:val="65D04378"/>
    <w:rsid w:val="65EC0A86"/>
    <w:rsid w:val="65EE47FE"/>
    <w:rsid w:val="65F04A1A"/>
    <w:rsid w:val="66302B58"/>
    <w:rsid w:val="66344907"/>
    <w:rsid w:val="663A5C95"/>
    <w:rsid w:val="66507267"/>
    <w:rsid w:val="665C1524"/>
    <w:rsid w:val="667473F9"/>
    <w:rsid w:val="66AD46B9"/>
    <w:rsid w:val="66DB2FD4"/>
    <w:rsid w:val="66FC2F4B"/>
    <w:rsid w:val="671B7875"/>
    <w:rsid w:val="674B74CE"/>
    <w:rsid w:val="675D1C3B"/>
    <w:rsid w:val="67650AF0"/>
    <w:rsid w:val="677E4D5B"/>
    <w:rsid w:val="67B77F27"/>
    <w:rsid w:val="67D47199"/>
    <w:rsid w:val="68077DF9"/>
    <w:rsid w:val="68273EA7"/>
    <w:rsid w:val="689B7C85"/>
    <w:rsid w:val="68BC0BE4"/>
    <w:rsid w:val="68BE36F5"/>
    <w:rsid w:val="69362744"/>
    <w:rsid w:val="695F5528"/>
    <w:rsid w:val="699A0D2F"/>
    <w:rsid w:val="69C117D7"/>
    <w:rsid w:val="69EE74C3"/>
    <w:rsid w:val="69F05CE0"/>
    <w:rsid w:val="6A5512F0"/>
    <w:rsid w:val="6A570BC4"/>
    <w:rsid w:val="6A641533"/>
    <w:rsid w:val="6A8954B5"/>
    <w:rsid w:val="6AD13C3D"/>
    <w:rsid w:val="6B040620"/>
    <w:rsid w:val="6B0505CF"/>
    <w:rsid w:val="6B234F4A"/>
    <w:rsid w:val="6B2A62D8"/>
    <w:rsid w:val="6B482C03"/>
    <w:rsid w:val="6B945E48"/>
    <w:rsid w:val="6BC73B27"/>
    <w:rsid w:val="6BE0108D"/>
    <w:rsid w:val="6C0B4735"/>
    <w:rsid w:val="6C472EBA"/>
    <w:rsid w:val="6C585E64"/>
    <w:rsid w:val="6C5B6DD1"/>
    <w:rsid w:val="6C6121CE"/>
    <w:rsid w:val="6C953C26"/>
    <w:rsid w:val="6CDA788A"/>
    <w:rsid w:val="6D1C7EA3"/>
    <w:rsid w:val="6D2A6A64"/>
    <w:rsid w:val="6D4D2752"/>
    <w:rsid w:val="6DB225B5"/>
    <w:rsid w:val="6DE309C1"/>
    <w:rsid w:val="6E453429"/>
    <w:rsid w:val="6E4F5DEE"/>
    <w:rsid w:val="6E8C1058"/>
    <w:rsid w:val="6EAB3BD4"/>
    <w:rsid w:val="6ECB7DD2"/>
    <w:rsid w:val="6ED674E5"/>
    <w:rsid w:val="6F1C418A"/>
    <w:rsid w:val="6F327E52"/>
    <w:rsid w:val="6F5B1156"/>
    <w:rsid w:val="6FC565D0"/>
    <w:rsid w:val="6FD44A65"/>
    <w:rsid w:val="700A0487"/>
    <w:rsid w:val="7060279C"/>
    <w:rsid w:val="70B9559C"/>
    <w:rsid w:val="70FA71EB"/>
    <w:rsid w:val="717007BD"/>
    <w:rsid w:val="717958C4"/>
    <w:rsid w:val="71902C0D"/>
    <w:rsid w:val="719F7168"/>
    <w:rsid w:val="71A65458"/>
    <w:rsid w:val="71A67132"/>
    <w:rsid w:val="71AB7A47"/>
    <w:rsid w:val="71D2609C"/>
    <w:rsid w:val="71FA3601"/>
    <w:rsid w:val="722F68CA"/>
    <w:rsid w:val="725707BA"/>
    <w:rsid w:val="72A11576"/>
    <w:rsid w:val="72D04DC5"/>
    <w:rsid w:val="73090EC9"/>
    <w:rsid w:val="733E6DC5"/>
    <w:rsid w:val="7363682B"/>
    <w:rsid w:val="73781BAB"/>
    <w:rsid w:val="73A66718"/>
    <w:rsid w:val="73C92407"/>
    <w:rsid w:val="73D1419C"/>
    <w:rsid w:val="73D634A1"/>
    <w:rsid w:val="73E07E7C"/>
    <w:rsid w:val="740A6CA7"/>
    <w:rsid w:val="742F670E"/>
    <w:rsid w:val="7441186B"/>
    <w:rsid w:val="74693138"/>
    <w:rsid w:val="746960C4"/>
    <w:rsid w:val="747D1B6F"/>
    <w:rsid w:val="7494275B"/>
    <w:rsid w:val="74982505"/>
    <w:rsid w:val="74CB179A"/>
    <w:rsid w:val="74EC76BE"/>
    <w:rsid w:val="752124FA"/>
    <w:rsid w:val="753B10E2"/>
    <w:rsid w:val="754E7067"/>
    <w:rsid w:val="758C6643"/>
    <w:rsid w:val="758C7D84"/>
    <w:rsid w:val="7621477C"/>
    <w:rsid w:val="76252F73"/>
    <w:rsid w:val="764346F2"/>
    <w:rsid w:val="769C605A"/>
    <w:rsid w:val="76B455F0"/>
    <w:rsid w:val="76B803B9"/>
    <w:rsid w:val="76E0529C"/>
    <w:rsid w:val="76EF03D6"/>
    <w:rsid w:val="77197ED4"/>
    <w:rsid w:val="7726029C"/>
    <w:rsid w:val="77366005"/>
    <w:rsid w:val="77530D93"/>
    <w:rsid w:val="775412EC"/>
    <w:rsid w:val="77644920"/>
    <w:rsid w:val="77732DB5"/>
    <w:rsid w:val="77921C69"/>
    <w:rsid w:val="77935205"/>
    <w:rsid w:val="779F4C7E"/>
    <w:rsid w:val="7825692D"/>
    <w:rsid w:val="782B18E2"/>
    <w:rsid w:val="78713673"/>
    <w:rsid w:val="7872306D"/>
    <w:rsid w:val="788A0834"/>
    <w:rsid w:val="789E3E62"/>
    <w:rsid w:val="78C40065"/>
    <w:rsid w:val="78E026CC"/>
    <w:rsid w:val="78E977D3"/>
    <w:rsid w:val="79314CD6"/>
    <w:rsid w:val="793F54EA"/>
    <w:rsid w:val="796706F8"/>
    <w:rsid w:val="79A454A8"/>
    <w:rsid w:val="79DD6C0C"/>
    <w:rsid w:val="79F3642F"/>
    <w:rsid w:val="79F53F55"/>
    <w:rsid w:val="7A044199"/>
    <w:rsid w:val="7A4647B1"/>
    <w:rsid w:val="7A606051"/>
    <w:rsid w:val="7A7E219D"/>
    <w:rsid w:val="7A8D23E0"/>
    <w:rsid w:val="7B49272C"/>
    <w:rsid w:val="7B8B22E9"/>
    <w:rsid w:val="7BB265A2"/>
    <w:rsid w:val="7BCB2527"/>
    <w:rsid w:val="7BD1454E"/>
    <w:rsid w:val="7BD55DED"/>
    <w:rsid w:val="7C1C7EBF"/>
    <w:rsid w:val="7CCC3693"/>
    <w:rsid w:val="7CD47A01"/>
    <w:rsid w:val="7D1B3CD3"/>
    <w:rsid w:val="7D32101D"/>
    <w:rsid w:val="7D877EB1"/>
    <w:rsid w:val="7DCC1471"/>
    <w:rsid w:val="7E0155BF"/>
    <w:rsid w:val="7E154BC6"/>
    <w:rsid w:val="7E1626EC"/>
    <w:rsid w:val="7E260B81"/>
    <w:rsid w:val="7E295DB8"/>
    <w:rsid w:val="7E2A7105"/>
    <w:rsid w:val="7E6B47E6"/>
    <w:rsid w:val="7ECF52DE"/>
    <w:rsid w:val="7EDC1B9E"/>
    <w:rsid w:val="7F281E80"/>
    <w:rsid w:val="7F2F3A66"/>
    <w:rsid w:val="7F8F09A8"/>
    <w:rsid w:val="7FBF3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line="560" w:lineRule="exact"/>
      <w:outlineLvl w:val="1"/>
    </w:pPr>
    <w:rPr>
      <w:rFonts w:ascii="楷体_GB2312" w:hAnsi="楷体_GB2312" w:eastAsia="楷体_GB2312" w:cs="楷体_GB2312"/>
      <w:sz w:val="32"/>
      <w:szCs w:val="32"/>
    </w:rPr>
  </w:style>
  <w:style w:type="paragraph" w:styleId="4">
    <w:name w:val="heading 3"/>
    <w:basedOn w:val="1"/>
    <w:next w:val="1"/>
    <w:qFormat/>
    <w:uiPriority w:val="0"/>
    <w:pPr>
      <w:keepNext/>
      <w:keepLines/>
      <w:spacing w:line="560" w:lineRule="exact"/>
      <w:ind w:firstLine="643" w:firstLineChars="200"/>
      <w:outlineLvl w:val="2"/>
    </w:pPr>
    <w:rPr>
      <w:rFonts w:ascii="仿宋_GB2312" w:hAnsi="仿宋_GB2312" w:eastAsia="仿宋_GB2312" w:cs="仿宋_GB2312"/>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9"/>
    <w:semiHidden/>
    <w:unhideWhenUsed/>
    <w:qFormat/>
    <w:uiPriority w:val="99"/>
    <w:pPr>
      <w:jc w:val="left"/>
    </w:pPr>
  </w:style>
  <w:style w:type="paragraph" w:styleId="7">
    <w:name w:val="Body Text"/>
    <w:basedOn w:val="1"/>
    <w:qFormat/>
    <w:uiPriority w:val="0"/>
    <w:rPr>
      <w:rFonts w:ascii="Times New Roman" w:hAnsi="Times New Roman" w:eastAsia="文星仿宋" w:cs="Times New Roman"/>
      <w:sz w:val="32"/>
      <w:szCs w:val="24"/>
    </w:rPr>
  </w:style>
  <w:style w:type="paragraph" w:styleId="8">
    <w:name w:val="toc 3"/>
    <w:basedOn w:val="1"/>
    <w:next w:val="1"/>
    <w:semiHidden/>
    <w:unhideWhenUsed/>
    <w:qFormat/>
    <w:uiPriority w:val="39"/>
    <w:pPr>
      <w:ind w:left="840" w:leftChars="400"/>
    </w:pPr>
  </w:style>
  <w:style w:type="paragraph" w:styleId="9">
    <w:name w:val="Balloon Text"/>
    <w:basedOn w:val="1"/>
    <w:link w:val="29"/>
    <w:semiHidden/>
    <w:unhideWhenUsed/>
    <w:qFormat/>
    <w:uiPriority w:val="99"/>
    <w:rPr>
      <w:sz w:val="18"/>
      <w:szCs w:val="18"/>
    </w:rPr>
  </w:style>
  <w:style w:type="paragraph" w:styleId="10">
    <w:name w:val="footer"/>
    <w:basedOn w:val="1"/>
    <w:link w:val="28"/>
    <w:autoRedefine/>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tabs>
        <w:tab w:val="center" w:pos="4153"/>
        <w:tab w:val="right" w:pos="8306"/>
      </w:tabs>
      <w:snapToGrid w:val="0"/>
      <w:jc w:val="center"/>
    </w:pPr>
    <w:rPr>
      <w:sz w:val="18"/>
      <w:szCs w:val="18"/>
    </w:rPr>
  </w:style>
  <w:style w:type="paragraph" w:styleId="12">
    <w:name w:val="toc 1"/>
    <w:basedOn w:val="1"/>
    <w:next w:val="1"/>
    <w:semiHidden/>
    <w:unhideWhenUsed/>
    <w:qFormat/>
    <w:uiPriority w:val="39"/>
  </w:style>
  <w:style w:type="paragraph" w:styleId="13">
    <w:name w:val="toc 2"/>
    <w:basedOn w:val="1"/>
    <w:next w:val="1"/>
    <w:semiHidden/>
    <w:unhideWhenUsed/>
    <w:qFormat/>
    <w:uiPriority w:val="39"/>
    <w:pPr>
      <w:ind w:left="420" w:leftChars="200"/>
    </w:p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annotation subject"/>
    <w:basedOn w:val="6"/>
    <w:next w:val="6"/>
    <w:link w:val="40"/>
    <w:semiHidden/>
    <w:unhideWhenUsed/>
    <w:qFormat/>
    <w:uiPriority w:val="99"/>
    <w:rPr>
      <w:b/>
      <w:bCs/>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FollowedHyperlink"/>
    <w:basedOn w:val="18"/>
    <w:autoRedefine/>
    <w:semiHidden/>
    <w:unhideWhenUsed/>
    <w:qFormat/>
    <w:uiPriority w:val="99"/>
    <w:rPr>
      <w:color w:val="771CAA"/>
      <w:u w:val="none"/>
    </w:rPr>
  </w:style>
  <w:style w:type="character" w:styleId="21">
    <w:name w:val="Emphasis"/>
    <w:basedOn w:val="18"/>
    <w:qFormat/>
    <w:uiPriority w:val="20"/>
    <w:rPr>
      <w:color w:val="F73131"/>
    </w:rPr>
  </w:style>
  <w:style w:type="character" w:styleId="22">
    <w:name w:val="Hyperlink"/>
    <w:basedOn w:val="18"/>
    <w:semiHidden/>
    <w:unhideWhenUsed/>
    <w:qFormat/>
    <w:uiPriority w:val="99"/>
    <w:rPr>
      <w:color w:val="2440B3"/>
      <w:u w:val="none"/>
    </w:rPr>
  </w:style>
  <w:style w:type="character" w:styleId="23">
    <w:name w:val="annotation reference"/>
    <w:basedOn w:val="18"/>
    <w:semiHidden/>
    <w:unhideWhenUsed/>
    <w:qFormat/>
    <w:uiPriority w:val="99"/>
    <w:rPr>
      <w:sz w:val="21"/>
      <w:szCs w:val="21"/>
    </w:rPr>
  </w:style>
  <w:style w:type="character" w:styleId="24">
    <w:name w:val="HTML Cite"/>
    <w:basedOn w:val="18"/>
    <w:semiHidden/>
    <w:unhideWhenUsed/>
    <w:qFormat/>
    <w:uiPriority w:val="99"/>
    <w:rPr>
      <w:color w:val="008000"/>
    </w:rPr>
  </w:style>
  <w:style w:type="character" w:styleId="25">
    <w:name w:val="footnote reference"/>
    <w:basedOn w:val="18"/>
    <w:qFormat/>
    <w:uiPriority w:val="0"/>
    <w:rPr>
      <w:vertAlign w:val="superscript"/>
    </w:rPr>
  </w:style>
  <w:style w:type="paragraph" w:styleId="26">
    <w:name w:val="List Paragraph"/>
    <w:basedOn w:val="1"/>
    <w:qFormat/>
    <w:uiPriority w:val="34"/>
    <w:pPr>
      <w:ind w:firstLine="420" w:firstLineChars="200"/>
    </w:pPr>
  </w:style>
  <w:style w:type="character" w:customStyle="1" w:styleId="27">
    <w:name w:val="页眉 字符"/>
    <w:basedOn w:val="18"/>
    <w:link w:val="11"/>
    <w:qFormat/>
    <w:uiPriority w:val="99"/>
    <w:rPr>
      <w:sz w:val="18"/>
      <w:szCs w:val="18"/>
    </w:rPr>
  </w:style>
  <w:style w:type="character" w:customStyle="1" w:styleId="28">
    <w:name w:val="页脚 字符"/>
    <w:basedOn w:val="18"/>
    <w:link w:val="10"/>
    <w:qFormat/>
    <w:uiPriority w:val="99"/>
    <w:rPr>
      <w:sz w:val="18"/>
      <w:szCs w:val="18"/>
    </w:rPr>
  </w:style>
  <w:style w:type="character" w:customStyle="1" w:styleId="29">
    <w:name w:val="批注框文本 字符"/>
    <w:basedOn w:val="18"/>
    <w:link w:val="9"/>
    <w:semiHidden/>
    <w:qFormat/>
    <w:uiPriority w:val="99"/>
    <w:rPr>
      <w:sz w:val="18"/>
      <w:szCs w:val="18"/>
    </w:rPr>
  </w:style>
  <w:style w:type="character" w:customStyle="1" w:styleId="30">
    <w:name w:val="hover20"/>
    <w:basedOn w:val="18"/>
    <w:qFormat/>
    <w:uiPriority w:val="0"/>
  </w:style>
  <w:style w:type="character" w:customStyle="1" w:styleId="31">
    <w:name w:val="hover21"/>
    <w:basedOn w:val="18"/>
    <w:qFormat/>
    <w:uiPriority w:val="0"/>
    <w:rPr>
      <w:color w:val="315EFB"/>
    </w:rPr>
  </w:style>
  <w:style w:type="character" w:customStyle="1" w:styleId="32">
    <w:name w:val="hover22"/>
    <w:basedOn w:val="18"/>
    <w:qFormat/>
    <w:uiPriority w:val="0"/>
    <w:rPr>
      <w:color w:val="315EFB"/>
      <w:shd w:val="clear" w:color="auto" w:fill="F0F3FD"/>
    </w:rPr>
  </w:style>
  <w:style w:type="character" w:customStyle="1" w:styleId="33">
    <w:name w:val="hover23"/>
    <w:basedOn w:val="18"/>
    <w:qFormat/>
    <w:uiPriority w:val="0"/>
    <w:rPr>
      <w:color w:val="315EFB"/>
    </w:rPr>
  </w:style>
  <w:style w:type="character" w:customStyle="1" w:styleId="34">
    <w:name w:val="c-icon"/>
    <w:basedOn w:val="18"/>
    <w:qFormat/>
    <w:uiPriority w:val="0"/>
  </w:style>
  <w:style w:type="character" w:customStyle="1" w:styleId="35">
    <w:name w:val="hover25"/>
    <w:basedOn w:val="18"/>
    <w:qFormat/>
    <w:uiPriority w:val="0"/>
  </w:style>
  <w:style w:type="character" w:customStyle="1" w:styleId="36">
    <w:name w:val="hover26"/>
    <w:basedOn w:val="18"/>
    <w:qFormat/>
    <w:uiPriority w:val="0"/>
    <w:rPr>
      <w:color w:val="315EFB"/>
    </w:rPr>
  </w:style>
  <w:style w:type="character" w:customStyle="1" w:styleId="37">
    <w:name w:val="hover27"/>
    <w:basedOn w:val="18"/>
    <w:qFormat/>
    <w:uiPriority w:val="0"/>
    <w:rPr>
      <w:color w:val="315EFB"/>
      <w:shd w:val="clear" w:color="auto" w:fill="F0F3FD"/>
    </w:rPr>
  </w:style>
  <w:style w:type="character" w:customStyle="1" w:styleId="38">
    <w:name w:val="hover28"/>
    <w:basedOn w:val="18"/>
    <w:qFormat/>
    <w:uiPriority w:val="0"/>
    <w:rPr>
      <w:color w:val="315EFB"/>
    </w:rPr>
  </w:style>
  <w:style w:type="character" w:customStyle="1" w:styleId="39">
    <w:name w:val="批注文字 字符"/>
    <w:basedOn w:val="18"/>
    <w:link w:val="6"/>
    <w:semiHidden/>
    <w:qFormat/>
    <w:uiPriority w:val="99"/>
    <w:rPr>
      <w:rFonts w:asciiTheme="minorHAnsi" w:hAnsiTheme="minorHAnsi" w:eastAsiaTheme="minorEastAsia" w:cstheme="minorBidi"/>
      <w:kern w:val="2"/>
      <w:sz w:val="21"/>
      <w:szCs w:val="22"/>
    </w:rPr>
  </w:style>
  <w:style w:type="character" w:customStyle="1" w:styleId="40">
    <w:name w:val="批注主题 字符"/>
    <w:basedOn w:val="39"/>
    <w:link w:val="15"/>
    <w:semiHidden/>
    <w:qFormat/>
    <w:uiPriority w:val="99"/>
    <w:rPr>
      <w:rFonts w:asciiTheme="minorHAnsi" w:hAnsiTheme="minorHAnsi" w:eastAsiaTheme="minorEastAsia" w:cstheme="minorBidi"/>
      <w:b/>
      <w:bCs/>
      <w:kern w:val="2"/>
      <w:sz w:val="21"/>
      <w:szCs w:val="22"/>
    </w:rPr>
  </w:style>
  <w:style w:type="paragraph" w:customStyle="1" w:styleId="41">
    <w:name w:val="Revision"/>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42">
    <w:name w:val="样式1"/>
    <w:basedOn w:val="2"/>
    <w:qFormat/>
    <w:uiPriority w:val="0"/>
    <w:rPr>
      <w:sz w:val="21"/>
    </w:rPr>
  </w:style>
  <w:style w:type="paragraph" w:customStyle="1" w:styleId="43">
    <w:name w:val="样式2"/>
    <w:basedOn w:val="3"/>
    <w:qFormat/>
    <w:uiPriority w:val="0"/>
    <w:rPr>
      <w:sz w:val="21"/>
    </w:rPr>
  </w:style>
  <w:style w:type="paragraph" w:customStyle="1" w:styleId="44">
    <w:name w:val="样式3"/>
    <w:basedOn w:val="4"/>
    <w:qFormat/>
    <w:uiPriority w:val="0"/>
    <w:rPr>
      <w:sz w:val="24"/>
    </w:rPr>
  </w:style>
  <w:style w:type="paragraph" w:customStyle="1" w:styleId="45">
    <w:name w:val="课题正文"/>
    <w:basedOn w:val="1"/>
    <w:qFormat/>
    <w:uiPriority w:val="99"/>
    <w:pPr>
      <w:spacing w:line="360" w:lineRule="auto"/>
      <w:ind w:firstLine="200" w:firstLineChars="200"/>
    </w:pPr>
    <w:rPr>
      <w:rFonts w:eastAsia="宋体"/>
      <w:sz w:val="24"/>
    </w:rPr>
  </w:style>
  <w:style w:type="paragraph" w:customStyle="1" w:styleId="46">
    <w:name w:val="WPSOffice手动目录 1"/>
    <w:qFormat/>
    <w:uiPriority w:val="0"/>
    <w:pPr>
      <w:ind w:leftChars="0"/>
    </w:pPr>
    <w:rPr>
      <w:rFonts w:ascii="Times New Roman" w:hAnsi="Times New Roman" w:eastAsia="宋体" w:cs="Times New Roman"/>
      <w:sz w:val="20"/>
      <w:szCs w:val="20"/>
    </w:rPr>
  </w:style>
  <w:style w:type="paragraph" w:customStyle="1" w:styleId="47">
    <w:name w:val="WPSOffice手动目录 2"/>
    <w:qFormat/>
    <w:uiPriority w:val="0"/>
    <w:pPr>
      <w:ind w:leftChars="200"/>
    </w:pPr>
    <w:rPr>
      <w:rFonts w:ascii="Times New Roman" w:hAnsi="Times New Roman" w:eastAsia="宋体" w:cs="Times New Roman"/>
      <w:sz w:val="20"/>
      <w:szCs w:val="20"/>
    </w:rPr>
  </w:style>
  <w:style w:type="paragraph" w:customStyle="1" w:styleId="4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77299C-9220-4B7A-B67E-D6E46EF20562}">
  <ds:schemaRefs/>
</ds:datastoreItem>
</file>

<file path=docProps/app.xml><?xml version="1.0" encoding="utf-8"?>
<Properties xmlns="http://schemas.openxmlformats.org/officeDocument/2006/extended-properties" xmlns:vt="http://schemas.openxmlformats.org/officeDocument/2006/docPropsVTypes">
  <Template>Normal</Template>
  <Pages>21</Pages>
  <Words>9009</Words>
  <Characters>9329</Characters>
  <Lines>123</Lines>
  <Paragraphs>34</Paragraphs>
  <TotalTime>65</TotalTime>
  <ScaleCrop>false</ScaleCrop>
  <LinksUpToDate>false</LinksUpToDate>
  <CharactersWithSpaces>9451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2024-03-16T09:03:00Z</dcterms:created>
  <dc:creator>磊 赵</dc:creator>
  <cp:lastModifiedBy>付强</cp:lastModifiedBy>
  <cp:lastPrinted>2024-04-03T05:55:00Z</cp:lastPrinted>
  <dcterms:modified xsi:type="dcterms:W3CDTF">2026-03-20T14:45:43Z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89DDB95189B44F3C9E33EAD94DD70A58_13</vt:lpwstr>
  </property>
  <property fmtid="{D5CDD505-2E9C-101B-9397-08002B2CF9AE}" pid="4" name="KSOTemplateDocerSaveRecord">
    <vt:lpwstr>eyJoZGlkIjoiMzEwNTM5NzYwMDRjMzkwZTVkZjY2ODkwMGIxNGU0OTUiLCJ1c2VySWQiOiIxNjA3MzEwNDgxIn0=</vt:lpwstr>
  </property>
</Properties>
</file>