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3B576">
      <w:pPr>
        <w:keepNext w:val="0"/>
        <w:keepLines w:val="0"/>
        <w:widowControl w:val="0"/>
        <w:suppressLineNumbers w:val="0"/>
        <w:spacing w:before="0" w:beforeAutospacing="0" w:after="0" w:afterAutospacing="0" w:line="560" w:lineRule="exact"/>
        <w:ind w:left="0" w:right="0"/>
        <w:jc w:val="center"/>
        <w:rPr>
          <w:rFonts w:hint="eastAsia" w:ascii="方正小标宋简体" w:hAnsi="方正小标宋简体" w:eastAsia="方正小标宋简体" w:cs="方正小标宋简体"/>
          <w:color w:val="000000"/>
          <w:kern w:val="2"/>
          <w:sz w:val="44"/>
          <w:szCs w:val="44"/>
          <w:lang w:val="en-US" w:eastAsia="zh-CN" w:bidi="ar"/>
        </w:rPr>
      </w:pPr>
      <w:r>
        <w:rPr>
          <w:rFonts w:hint="eastAsia" w:ascii="仿宋_GB2312" w:eastAsia="仿宋_GB2312"/>
          <w:sz w:val="44"/>
          <w:szCs w:val="44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color w:val="000000"/>
          <w:kern w:val="2"/>
          <w:sz w:val="44"/>
          <w:szCs w:val="44"/>
          <w:lang w:val="en-US" w:eastAsia="zh-CN" w:bidi="ar"/>
        </w:rPr>
        <w:t>2026年智慧港口升级版建设工作方案</w:t>
      </w:r>
    </w:p>
    <w:p w14:paraId="160989CA">
      <w:pPr>
        <w:keepNext w:val="0"/>
        <w:keepLines w:val="0"/>
        <w:widowControl w:val="0"/>
        <w:suppressLineNumbers w:val="0"/>
        <w:spacing w:before="0" w:beforeAutospacing="0" w:after="0" w:afterAutospacing="0" w:line="560" w:lineRule="exact"/>
        <w:ind w:left="0" w:right="0"/>
        <w:jc w:val="center"/>
        <w:rPr>
          <w:rFonts w:hint="eastAsia" w:ascii="方正小标宋简体" w:hAnsi="方正小标宋简体" w:eastAsia="方正小标宋简体" w:cs="方正小标宋简体"/>
          <w:color w:val="000000"/>
          <w:kern w:val="2"/>
          <w:sz w:val="44"/>
          <w:szCs w:val="44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2"/>
          <w:sz w:val="44"/>
          <w:szCs w:val="44"/>
          <w:lang w:val="en-US" w:eastAsia="zh-CN" w:bidi="ar"/>
        </w:rPr>
        <w:t>（征求意见稿）</w:t>
      </w:r>
    </w:p>
    <w:p w14:paraId="187709DB">
      <w:pPr>
        <w:shd w:val="clear" w:color="auto" w:fill="FFFFFF"/>
        <w:spacing w:line="560" w:lineRule="exact"/>
        <w:ind w:firstLine="640" w:firstLineChars="200"/>
        <w:rPr>
          <w:rFonts w:hint="eastAsia" w:ascii="Times New Roman" w:hAnsi="Times New Roman" w:eastAsia="仿宋_GB2312" w:cs="仿宋_GB2312"/>
          <w:color w:val="000000"/>
          <w:sz w:val="32"/>
          <w:szCs w:val="32"/>
          <w:shd w:val="clear" w:color="auto" w:fill="FFFFFF"/>
          <w:lang w:bidi="ar"/>
        </w:rPr>
      </w:pPr>
    </w:p>
    <w:p w14:paraId="1C600F45">
      <w:pPr>
        <w:keepNext/>
        <w:keepLines w:val="0"/>
        <w:widowControl/>
        <w:suppressLineNumbers w:val="0"/>
        <w:spacing w:before="0" w:beforeAutospacing="0" w:after="0" w:afterAutospacing="0" w:line="560" w:lineRule="exact"/>
        <w:ind w:left="0" w:right="0" w:firstLine="640" w:firstLineChars="200"/>
        <w:jc w:val="both"/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default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2026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年是</w:t>
      </w:r>
      <w:r>
        <w:rPr>
          <w:rFonts w:hint="default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“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十五五</w:t>
      </w:r>
      <w:r>
        <w:rPr>
          <w:rFonts w:hint="default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”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开局之年，是集团加快</w:t>
      </w:r>
      <w:r>
        <w:rPr>
          <w:rFonts w:hint="default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“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双一流</w:t>
      </w:r>
      <w:r>
        <w:rPr>
          <w:rFonts w:hint="default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”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建设的接续奋斗之年，进一步落实集团打造智慧港口升级版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</w:rPr>
        <w:t>新部署、新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要求的关键一年，做好全年工作意义重大。围绕“打造数字孪生天津港，引领港口经济发展”的数字化转型愿景，深入开展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</w:rPr>
        <w:t>“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延链年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</w:rPr>
        <w:t>”各项任务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，贯彻落实开局新、起步稳、延链优、质效增，按照“全谋划、全要素、全单位”和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</w:rPr>
        <w:t>“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有规则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</w:rPr>
        <w:t>、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有数量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</w:rPr>
        <w:t>、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有质量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</w:rPr>
        <w:t>、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有创新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</w:rPr>
        <w:t>、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有效益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</w:rPr>
        <w:t>”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工作要求，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</w:rPr>
        <w:t>培育和发展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港口新质生产力，统筹全面创新与全员创新，大力推进向航运服务智慧化，聚焦人工智能应用，全力推动智慧港口升级开新局。特制定本方案。</w:t>
      </w:r>
    </w:p>
    <w:p w14:paraId="080B4619">
      <w:pPr>
        <w:keepNext w:val="0"/>
        <w:keepLines w:val="0"/>
        <w:widowControl w:val="0"/>
        <w:suppressLineNumbers w:val="0"/>
        <w:spacing w:before="0" w:beforeAutospacing="0" w:after="0" w:afterAutospacing="0" w:line="560" w:lineRule="exact"/>
        <w:ind w:left="0" w:leftChars="0" w:right="0" w:rightChars="0" w:firstLine="640" w:firstLineChars="200"/>
        <w:jc w:val="left"/>
        <w:outlineLvl w:val="0"/>
        <w:rPr>
          <w:rFonts w:hint="eastAsia" w:ascii="黑体" w:hAnsi="宋体" w:eastAsia="黑体" w:cs="仿宋_GB2312"/>
          <w:b/>
          <w:bCs w:val="0"/>
          <w:sz w:val="32"/>
          <w:szCs w:val="32"/>
          <w:lang w:val="en-US"/>
        </w:rPr>
      </w:pPr>
      <w:r>
        <w:rPr>
          <w:rFonts w:hint="eastAsia" w:ascii="黑体" w:hAnsi="宋体" w:eastAsia="黑体" w:cs="仿宋_GB2312"/>
          <w:bCs/>
          <w:kern w:val="2"/>
          <w:sz w:val="32"/>
          <w:szCs w:val="32"/>
          <w:lang w:val="en-US" w:eastAsia="zh-CN" w:bidi="ar"/>
        </w:rPr>
        <w:t>一、指导思想</w:t>
      </w:r>
    </w:p>
    <w:p w14:paraId="6D586778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line="560" w:lineRule="exact"/>
        <w:ind w:firstLine="645"/>
        <w:textAlignment w:val="auto"/>
        <w:rPr>
          <w:rFonts w:hint="eastAsia" w:ascii="黑体" w:hAnsi="宋体" w:eastAsia="黑体" w:cs="仿宋_GB2312"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Times New Roman" w:eastAsia="仿宋_GB2312" w:cs="仿宋_GB2312"/>
          <w:spacing w:val="0"/>
          <w:sz w:val="32"/>
          <w:szCs w:val="32"/>
        </w:rPr>
        <w:t>全面贯彻党的二十大和二十届历次全会精神，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和中央经济工作会议精神，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shd w:val="solid" w:color="FFFFFF" w:fill="auto"/>
          <w:lang w:val="en-US" w:eastAsia="zh-CN" w:bidi="ar"/>
        </w:rPr>
        <w:t>坚持以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shd w:val="solid" w:color="FFFFFF" w:fill="auto"/>
          <w:lang w:eastAsia="zh-CN" w:bidi="ar"/>
        </w:rPr>
        <w:t>习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shd w:val="solid" w:color="FFFFFF" w:fill="auto"/>
          <w:lang w:val="en-US" w:eastAsia="zh-CN" w:bidi="ar"/>
        </w:rPr>
        <w:t>近平总书记视察天津重要讲话精神为指导,践行“四个善作善成”要求，深入落实全市“十项行动”，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促进港产城深度融合和港口经济高质量发展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shd w:val="solid" w:color="FFFFFF" w:fill="auto"/>
          <w:lang w:val="en-US" w:eastAsia="zh-CN" w:bidi="ar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以“融入式”党建为引领，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bidi="ar"/>
        </w:rPr>
        <w:t>深入实施“一二三四五”总体发展战略，坚定实施“拓集、优散、延链、强物流、重协同、数字化”新经营策略，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 w:bidi="ar"/>
        </w:rPr>
        <w:t>扎实落实向航运服务智慧化转变、向综合型港航物流运营商转变，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持续推进智慧港口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升级版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建设，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坚持“打造数字孪生天津港，引领港口经济发展”数字化转型愿景，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在服务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数字中国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战略和全市发展大局中展现新担当新作为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。</w:t>
      </w:r>
    </w:p>
    <w:p w14:paraId="37827FE5">
      <w:pPr>
        <w:ind w:firstLine="640" w:firstLineChars="200"/>
        <w:outlineLvl w:val="0"/>
      </w:pPr>
      <w:r>
        <w:rPr>
          <w:rFonts w:hint="eastAsia" w:ascii="黑体" w:hAnsi="宋体" w:eastAsia="黑体" w:cs="仿宋_GB2312"/>
          <w:bCs/>
          <w:kern w:val="2"/>
          <w:sz w:val="32"/>
          <w:szCs w:val="32"/>
          <w:lang w:val="en-US" w:eastAsia="zh-CN" w:bidi="ar"/>
        </w:rPr>
        <w:t>二、工作原则</w:t>
      </w:r>
    </w:p>
    <w:p w14:paraId="4E64FA97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1"/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eastAsia="zh-CN" w:bidi="ar"/>
        </w:rPr>
        <w:t>（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val="en-US" w:eastAsia="zh-CN" w:bidi="ar"/>
        </w:rPr>
        <w:t>一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eastAsia="zh-CN" w:bidi="ar"/>
        </w:rPr>
        <w:t>）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val="en-US" w:eastAsia="zh-CN" w:bidi="ar"/>
        </w:rPr>
        <w:t>坚持战略引领</w:t>
      </w:r>
    </w:p>
    <w:p w14:paraId="63D4159B">
      <w:pPr>
        <w:keepNext w:val="0"/>
        <w:keepLines w:val="0"/>
        <w:widowControl w:val="0"/>
        <w:suppressLineNumbers w:val="0"/>
        <w:spacing w:before="0" w:beforeAutospacing="0" w:after="0" w:afterAutospacing="0" w:line="560" w:lineRule="exact"/>
        <w:ind w:left="0" w:right="0" w:firstLine="640" w:firstLineChars="200"/>
        <w:jc w:val="both"/>
        <w:rPr>
          <w:rFonts w:hint="eastAsia" w:ascii="Times New Roman" w:hAnsi="Times New Roman" w:eastAsia="仿宋_GB2312" w:cs="仿宋_GB2312"/>
          <w:sz w:val="32"/>
          <w:szCs w:val="32"/>
          <w:highlight w:val="none"/>
          <w:lang w:bidi="ar"/>
        </w:rPr>
      </w:pPr>
      <w:r>
        <w:rPr>
          <w:rFonts w:hint="eastAsia" w:ascii="仿宋_GB2312" w:hAnsi="宋体" w:eastAsia="仿宋_GB2312" w:cs="仿宋_GB2312"/>
          <w:bCs/>
          <w:color w:val="000000"/>
          <w:kern w:val="2"/>
          <w:sz w:val="32"/>
          <w:szCs w:val="32"/>
          <w:lang w:val="en-US" w:eastAsia="zh-CN" w:bidi="ar"/>
          <w:woUserID w:val="1"/>
        </w:rPr>
        <w:t>聚焦培育新质生产力，积极促进港产城深度融合，</w:t>
      </w:r>
      <w:r>
        <w:rPr>
          <w:rFonts w:hint="eastAsia" w:ascii="仿宋_GB2312" w:hAnsi="宋体" w:eastAsia="仿宋_GB2312" w:cs="仿宋_GB2312"/>
          <w:bCs/>
          <w:color w:val="000000"/>
          <w:kern w:val="2"/>
          <w:sz w:val="32"/>
          <w:szCs w:val="32"/>
          <w:lang w:val="en-US" w:eastAsia="zh" w:bidi="ar"/>
          <w:woUserID w:val="1"/>
        </w:rPr>
        <w:t>加快推进向航运服务智慧化转变，</w:t>
      </w:r>
      <w:r>
        <w:rPr>
          <w:rFonts w:hint="eastAsia" w:ascii="仿宋_GB2312" w:hAnsi="宋体" w:eastAsia="仿宋_GB2312" w:cs="仿宋_GB2312"/>
          <w:bCs/>
          <w:color w:val="000000"/>
          <w:kern w:val="2"/>
          <w:sz w:val="32"/>
          <w:szCs w:val="32"/>
          <w:lang w:val="en-US" w:eastAsia="zh-CN" w:bidi="ar"/>
        </w:rPr>
        <w:t>统筹谋划</w:t>
      </w:r>
      <w:r>
        <w:rPr>
          <w:rFonts w:hint="eastAsia" w:ascii="仿宋_GB2312" w:hAnsi="宋体" w:eastAsia="仿宋_GB2312" w:cs="仿宋_GB2312"/>
          <w:bCs/>
          <w:color w:val="000000"/>
          <w:kern w:val="2"/>
          <w:sz w:val="32"/>
          <w:szCs w:val="32"/>
          <w:lang w:val="en-US" w:eastAsia="zh" w:bidi="ar"/>
          <w:woUserID w:val="1"/>
        </w:rPr>
        <w:t>“十五五”</w:t>
      </w:r>
      <w:r>
        <w:rPr>
          <w:rFonts w:hint="eastAsia" w:ascii="仿宋_GB2312" w:hAnsi="宋体" w:eastAsia="仿宋_GB2312" w:cs="仿宋_GB2312"/>
          <w:bCs/>
          <w:color w:val="000000"/>
          <w:kern w:val="2"/>
          <w:sz w:val="32"/>
          <w:szCs w:val="32"/>
          <w:lang w:val="en-US" w:eastAsia="zh-CN" w:bidi="ar"/>
          <w:woUserID w:val="1"/>
        </w:rPr>
        <w:t>智慧港口升级版</w:t>
      </w:r>
      <w:r>
        <w:rPr>
          <w:rFonts w:hint="eastAsia" w:ascii="仿宋_GB2312" w:hAnsi="宋体" w:eastAsia="仿宋_GB2312" w:cs="仿宋_GB2312"/>
          <w:bCs/>
          <w:color w:val="000000"/>
          <w:kern w:val="2"/>
          <w:sz w:val="32"/>
          <w:szCs w:val="32"/>
          <w:lang w:val="en-US" w:eastAsia="zh" w:bidi="ar"/>
          <w:woUserID w:val="1"/>
        </w:rPr>
        <w:t>规划和年度计划，实施</w:t>
      </w:r>
      <w:r>
        <w:rPr>
          <w:rFonts w:hint="eastAsia" w:ascii="仿宋_GB2312" w:hAnsi="宋体" w:eastAsia="仿宋_GB2312" w:cs="仿宋_GB2312"/>
          <w:bCs/>
          <w:color w:val="000000"/>
          <w:kern w:val="2"/>
          <w:sz w:val="32"/>
          <w:szCs w:val="32"/>
          <w:lang w:val="en-US" w:eastAsia="zh-CN" w:bidi="ar"/>
        </w:rPr>
        <w:t>人工智能+行动，助力天津北方国际航运枢纽建设，为</w:t>
      </w:r>
      <w:r>
        <w:rPr>
          <w:rFonts w:hint="eastAsia" w:ascii="仿宋_GB2312" w:hAnsi="宋体" w:eastAsia="仿宋_GB2312" w:cs="仿宋_GB2312"/>
          <w:bCs/>
          <w:color w:val="000000"/>
          <w:kern w:val="2"/>
          <w:sz w:val="32"/>
          <w:szCs w:val="32"/>
          <w:lang w:val="en-US" w:eastAsia="zh" w:bidi="ar"/>
          <w:woUserID w:val="1"/>
        </w:rPr>
        <w:t>集团</w:t>
      </w:r>
      <w:r>
        <w:rPr>
          <w:rFonts w:hint="eastAsia" w:ascii="仿宋_GB2312" w:hAnsi="宋体" w:eastAsia="仿宋_GB2312" w:cs="仿宋_GB2312"/>
          <w:bCs/>
          <w:color w:val="000000"/>
          <w:kern w:val="2"/>
          <w:sz w:val="32"/>
          <w:szCs w:val="32"/>
          <w:lang w:val="en-US" w:eastAsia="zh-CN" w:bidi="ar"/>
        </w:rPr>
        <w:t>高质量发展提供新动力。</w:t>
      </w:r>
    </w:p>
    <w:p w14:paraId="450E52D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outlineLvl w:val="1"/>
        <w:rPr>
          <w:rFonts w:hint="eastAsia" w:ascii="楷体_GB2312" w:hAnsi="楷体_GB2312" w:eastAsia="楷体_GB2312" w:cs="楷体_GB2312"/>
          <w:bCs/>
          <w:sz w:val="32"/>
          <w:szCs w:val="32"/>
          <w:highlight w:val="none"/>
          <w:lang w:bidi="ar"/>
        </w:rPr>
      </w:pP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val="en-US" w:eastAsia="zh-CN" w:bidi="ar"/>
        </w:rPr>
        <w:t>（二）坚持统筹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bidi="ar"/>
        </w:rPr>
        <w:t>推进</w:t>
      </w:r>
    </w:p>
    <w:p w14:paraId="07B82E5D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line="560" w:lineRule="exact"/>
        <w:ind w:firstLine="645"/>
        <w:textAlignment w:val="auto"/>
        <w:rPr>
          <w:rFonts w:hint="eastAsia" w:ascii="Times New Roman" w:hAnsi="Times New Roman" w:eastAsia="仿宋_GB2312" w:cs="仿宋_GB2312"/>
          <w:sz w:val="32"/>
          <w:szCs w:val="32"/>
          <w:highlight w:val="none"/>
          <w:lang w:bidi="ar"/>
        </w:rPr>
      </w:pP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坚持以</w:t>
      </w:r>
      <w:r>
        <w:rPr>
          <w:rFonts w:hint="eastAsia" w:ascii="Times New Roman" w:hAnsi="Times New Roman" w:eastAsia="仿宋_GB2312" w:cs="仿宋_GB2312"/>
          <w:spacing w:val="-6"/>
          <w:sz w:val="32"/>
          <w:szCs w:val="32"/>
          <w:highlight w:val="none"/>
          <w:lang w:val="en-US" w:eastAsia="zh-CN" w:bidi="ar"/>
        </w:rPr>
        <w:t>数字化转型、智能化升级为抓手，推进</w:t>
      </w:r>
      <w:r>
        <w:rPr>
          <w:rFonts w:hint="eastAsia" w:ascii="Times New Roman" w:hAnsi="Times New Roman" w:eastAsia="仿宋_GB2312" w:cs="仿宋_GB2312"/>
          <w:sz w:val="32"/>
          <w:szCs w:val="32"/>
          <w:highlight w:val="none"/>
          <w:lang w:val="en-US" w:eastAsia="zh-CN" w:bidi="ar"/>
        </w:rPr>
        <w:t>智慧港口升级版建设，</w:t>
      </w:r>
      <w:r>
        <w:rPr>
          <w:rFonts w:hint="eastAsia" w:ascii="Times New Roman" w:hAnsi="Times New Roman" w:eastAsia="仿宋_GB2312" w:cs="仿宋_GB2312"/>
          <w:spacing w:val="-6"/>
          <w:sz w:val="32"/>
          <w:szCs w:val="32"/>
          <w:highlight w:val="none"/>
          <w:lang w:bidi="ar"/>
        </w:rPr>
        <w:t>有机统一工作目标和任务</w:t>
      </w:r>
      <w:r>
        <w:rPr>
          <w:rFonts w:hint="eastAsia" w:ascii="Times New Roman" w:hAnsi="Times New Roman" w:eastAsia="仿宋_GB2312" w:cs="仿宋_GB2312"/>
          <w:spacing w:val="-6"/>
          <w:sz w:val="32"/>
          <w:szCs w:val="32"/>
          <w:highlight w:val="none"/>
          <w:lang w:eastAsia="zh-CN" w:bidi="ar"/>
        </w:rPr>
        <w:t>，</w:t>
      </w:r>
      <w:r>
        <w:rPr>
          <w:rFonts w:hint="eastAsia" w:ascii="仿宋_GB2312" w:hAnsi="微软雅黑" w:eastAsia="仿宋_GB2312" w:cs="仿宋_GB2312"/>
          <w:color w:val="000000"/>
          <w:kern w:val="2"/>
          <w:sz w:val="32"/>
          <w:szCs w:val="32"/>
          <w:lang w:val="en-US" w:eastAsia="zh-CN" w:bidi="ar"/>
        </w:rPr>
        <w:t>统筹开展数字化架构管控，提升数字化发展水平和网络与数据安全保障能力，</w:t>
      </w:r>
      <w:r>
        <w:rPr>
          <w:rFonts w:hint="eastAsia" w:ascii="仿宋_GB2312" w:eastAsia="仿宋_GB2312"/>
          <w:bCs/>
          <w:sz w:val="32"/>
          <w:szCs w:val="32"/>
        </w:rPr>
        <w:t>促进整体协同效应的发挥。</w:t>
      </w:r>
    </w:p>
    <w:p w14:paraId="08280F2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outlineLvl w:val="1"/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val="en-US" w:eastAsia="zh" w:bidi="ar"/>
          <w:woUserID w:val="1"/>
        </w:rPr>
      </w:pP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val="en-US" w:eastAsia="zh-CN" w:bidi="ar"/>
        </w:rPr>
        <w:t>（三）坚持创新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val="en-US" w:eastAsia="zh" w:bidi="ar"/>
          <w:woUserID w:val="1"/>
        </w:rPr>
        <w:t>牵引</w:t>
      </w:r>
    </w:p>
    <w:p w14:paraId="3E1E11BC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bCs/>
          <w:sz w:val="32"/>
          <w:szCs w:val="32"/>
        </w:rPr>
      </w:pPr>
      <w:r>
        <w:rPr>
          <w:rFonts w:hint="eastAsia" w:ascii="仿宋_GB2312" w:eastAsia="仿宋_GB2312"/>
          <w:bCs/>
          <w:sz w:val="32"/>
          <w:szCs w:val="32"/>
        </w:rPr>
        <w:t>深刻洞察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人工智能技术</w:t>
      </w:r>
      <w:r>
        <w:rPr>
          <w:rFonts w:hint="eastAsia" w:ascii="仿宋_GB2312" w:eastAsia="仿宋_GB2312"/>
          <w:bCs/>
          <w:sz w:val="32"/>
          <w:szCs w:val="32"/>
        </w:rPr>
        <w:t>发展趋势</w:t>
      </w:r>
      <w:r>
        <w:rPr>
          <w:rFonts w:hint="eastAsia" w:ascii="仿宋_GB2312" w:eastAsia="仿宋_GB2312"/>
          <w:bCs/>
          <w:sz w:val="32"/>
          <w:szCs w:val="32"/>
          <w:lang w:eastAsia="zh-CN"/>
        </w:rPr>
        <w:t>，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协同推进大模型、智能体、大数据等数字技术应用，</w:t>
      </w:r>
      <w:r>
        <w:rPr>
          <w:rFonts w:hint="eastAsia" w:ascii="仿宋_GB2312" w:eastAsia="仿宋_GB2312"/>
          <w:bCs/>
          <w:sz w:val="32"/>
          <w:szCs w:val="32"/>
        </w:rPr>
        <w:t>实现新一代信息技术与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港航产业</w:t>
      </w:r>
      <w:r>
        <w:rPr>
          <w:rFonts w:hint="eastAsia" w:ascii="仿宋_GB2312" w:eastAsia="仿宋_GB2312"/>
          <w:bCs/>
          <w:sz w:val="32"/>
          <w:szCs w:val="32"/>
        </w:rPr>
        <w:t>有机结合，推动各类</w:t>
      </w:r>
      <w:r>
        <w:rPr>
          <w:rFonts w:hint="eastAsia" w:ascii="仿宋_GB2312" w:eastAsia="仿宋_GB2312"/>
          <w:bCs/>
          <w:sz w:val="32"/>
          <w:szCs w:val="32"/>
          <w:lang w:eastAsia="zh"/>
          <w:woUserID w:val="1"/>
        </w:rPr>
        <w:t>数字员工</w:t>
      </w:r>
      <w:r>
        <w:rPr>
          <w:rFonts w:hint="eastAsia" w:ascii="仿宋_GB2312" w:eastAsia="仿宋_GB2312"/>
          <w:bCs/>
          <w:sz w:val="32"/>
          <w:szCs w:val="32"/>
        </w:rPr>
        <w:t>创新成果的内部应用和对外输出，并持续加强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数字</w:t>
      </w:r>
      <w:r>
        <w:rPr>
          <w:rFonts w:hint="eastAsia" w:ascii="仿宋_GB2312" w:eastAsia="仿宋_GB2312"/>
          <w:bCs/>
          <w:sz w:val="32"/>
          <w:szCs w:val="32"/>
        </w:rPr>
        <w:t>技术、产品的迭代优化和升级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。</w:t>
      </w:r>
    </w:p>
    <w:p w14:paraId="4CE358B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outlineLvl w:val="1"/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val="en-US" w:eastAsia="zh-CN" w:bidi="ar"/>
        </w:rPr>
      </w:pP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val="en-US" w:eastAsia="zh-CN" w:bidi="ar"/>
        </w:rPr>
        <w:t>（四）坚持赋能延链</w:t>
      </w:r>
    </w:p>
    <w:p w14:paraId="3E56EE95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bCs/>
          <w:sz w:val="32"/>
          <w:szCs w:val="32"/>
          <w:lang w:val="en-US" w:eastAsia="zh"/>
          <w:woUserID w:val="1"/>
        </w:rPr>
        <w:t>积极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推动“延链年”建设，赋能</w:t>
      </w:r>
      <w:r>
        <w:rPr>
          <w:rFonts w:hint="eastAsia" w:ascii="仿宋_GB2312" w:eastAsia="仿宋_GB2312"/>
          <w:bCs/>
          <w:sz w:val="32"/>
          <w:szCs w:val="32"/>
          <w:lang w:val="en-US" w:eastAsia="zh"/>
          <w:woUserID w:val="1"/>
        </w:rPr>
        <w:t>数字化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产业发展开新局</w:t>
      </w:r>
      <w:r>
        <w:rPr>
          <w:rFonts w:hint="eastAsia" w:ascii="仿宋_GB2312" w:eastAsia="仿宋_GB2312"/>
          <w:bCs/>
          <w:sz w:val="32"/>
          <w:szCs w:val="32"/>
          <w:lang w:val="en-US" w:eastAsia="zh"/>
          <w:woUserID w:val="1"/>
        </w:rPr>
        <w:t>，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探索延链领域数字化转型场景，构建自主可控、安全可信、协同运行的智慧化系统，以人工智能引领科研范式变革，加速科技创新突破。</w:t>
      </w:r>
    </w:p>
    <w:p w14:paraId="1BD537CB">
      <w:pPr>
        <w:keepNext w:val="0"/>
        <w:keepLines w:val="0"/>
        <w:widowControl w:val="0"/>
        <w:suppressLineNumbers w:val="0"/>
        <w:spacing w:before="0" w:beforeAutospacing="0" w:after="0" w:afterAutospacing="0" w:line="560" w:lineRule="exact"/>
        <w:ind w:left="0" w:leftChars="0" w:right="0" w:rightChars="0" w:firstLine="640" w:firstLineChars="200"/>
        <w:jc w:val="left"/>
        <w:outlineLvl w:val="0"/>
        <w:rPr>
          <w:rFonts w:hint="eastAsia" w:ascii="黑体" w:hAnsi="宋体" w:eastAsia="黑体" w:cs="仿宋_GB2312"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仿宋_GB2312"/>
          <w:bCs/>
          <w:kern w:val="2"/>
          <w:sz w:val="32"/>
          <w:szCs w:val="32"/>
          <w:lang w:val="en-US" w:eastAsia="zh-CN" w:bidi="ar"/>
        </w:rPr>
        <w:t>三、评价指标</w:t>
      </w:r>
    </w:p>
    <w:p w14:paraId="45F465D6">
      <w:pPr>
        <w:shd w:val="clear" w:color="auto" w:fill="FFFFFF"/>
        <w:spacing w:after="156" w:afterLines="50"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  <w:lang w:bidi="ar"/>
        </w:rPr>
      </w:pP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  <w:lang w:bidi="ar"/>
        </w:rPr>
        <w:t>按照市港口办印发的《天津港建设世界一流港口支撑和工作目标体系》要求，结合集团公司实际，智慧港口升级版建设1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  <w:lang w:val="en-US" w:eastAsia="zh-CN" w:bidi="ar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  <w:lang w:bidi="ar"/>
        </w:rPr>
        <w:t>项评价指标202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  <w:lang w:val="en-US" w:eastAsia="zh-CN" w:bidi="ar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  <w:lang w:bidi="ar"/>
        </w:rPr>
        <w:t>年目标，具体如下：</w:t>
      </w:r>
    </w:p>
    <w:tbl>
      <w:tblPr>
        <w:tblStyle w:val="11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4536"/>
        <w:gridCol w:w="2268"/>
      </w:tblGrid>
      <w:tr w14:paraId="4D58C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413" w:type="dxa"/>
            <w:noWrap w:val="0"/>
            <w:vAlign w:val="center"/>
          </w:tcPr>
          <w:p w14:paraId="65968801">
            <w:pPr>
              <w:spacing w:line="560" w:lineRule="exact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sz w:val="28"/>
                <w:szCs w:val="28"/>
                <w:highlight w:val="none"/>
              </w:rPr>
              <w:t>序号</w:t>
            </w:r>
          </w:p>
        </w:tc>
        <w:tc>
          <w:tcPr>
            <w:tcW w:w="4536" w:type="dxa"/>
            <w:noWrap w:val="0"/>
            <w:vAlign w:val="center"/>
          </w:tcPr>
          <w:p w14:paraId="6950923F">
            <w:pPr>
              <w:spacing w:line="560" w:lineRule="exact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sz w:val="28"/>
                <w:szCs w:val="28"/>
                <w:highlight w:val="none"/>
              </w:rPr>
              <w:t>指标名称</w:t>
            </w:r>
          </w:p>
        </w:tc>
        <w:tc>
          <w:tcPr>
            <w:tcW w:w="2268" w:type="dxa"/>
            <w:noWrap w:val="0"/>
            <w:vAlign w:val="center"/>
          </w:tcPr>
          <w:p w14:paraId="31DF5C57">
            <w:pPr>
              <w:spacing w:line="560" w:lineRule="exact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sz w:val="28"/>
                <w:szCs w:val="28"/>
                <w:highlight w:val="none"/>
              </w:rPr>
              <w:t>202</w:t>
            </w:r>
            <w:r>
              <w:rPr>
                <w:rFonts w:hint="eastAsia" w:ascii="仿宋_GB2312" w:hAnsi="仿宋_GB2312" w:eastAsia="仿宋_GB2312" w:cs="仿宋_GB2312"/>
                <w:b/>
                <w:color w:val="auto"/>
                <w:sz w:val="28"/>
                <w:szCs w:val="28"/>
                <w:highlight w:val="none"/>
                <w:lang w:val="en-US" w:eastAsia="zh-CN"/>
              </w:rPr>
              <w:t>6</w:t>
            </w:r>
            <w:r>
              <w:rPr>
                <w:rFonts w:hint="eastAsia" w:ascii="仿宋_GB2312" w:hAnsi="仿宋_GB2312" w:eastAsia="仿宋_GB2312" w:cs="仿宋_GB2312"/>
                <w:b/>
                <w:color w:val="auto"/>
                <w:sz w:val="28"/>
                <w:szCs w:val="28"/>
                <w:highlight w:val="none"/>
              </w:rPr>
              <w:t>年目标值</w:t>
            </w:r>
          </w:p>
        </w:tc>
      </w:tr>
      <w:tr w14:paraId="2DC1E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413" w:type="dxa"/>
            <w:noWrap w:val="0"/>
            <w:vAlign w:val="center"/>
          </w:tcPr>
          <w:p w14:paraId="52E1A104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1</w:t>
            </w:r>
          </w:p>
        </w:tc>
        <w:tc>
          <w:tcPr>
            <w:tcW w:w="4536" w:type="dxa"/>
            <w:noWrap w:val="0"/>
            <w:vAlign w:val="center"/>
          </w:tcPr>
          <w:p w14:paraId="3AEDEB61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互联网总带宽（GB）</w:t>
            </w:r>
          </w:p>
        </w:tc>
        <w:tc>
          <w:tcPr>
            <w:tcW w:w="2268" w:type="dxa"/>
            <w:noWrap w:val="0"/>
            <w:vAlign w:val="center"/>
          </w:tcPr>
          <w:p w14:paraId="62050960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5</w:t>
            </w:r>
          </w:p>
        </w:tc>
      </w:tr>
      <w:tr w14:paraId="47744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13" w:type="dxa"/>
            <w:noWrap w:val="0"/>
            <w:vAlign w:val="center"/>
          </w:tcPr>
          <w:p w14:paraId="476E60DD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2</w:t>
            </w:r>
          </w:p>
        </w:tc>
        <w:tc>
          <w:tcPr>
            <w:tcW w:w="4536" w:type="dxa"/>
            <w:noWrap w:val="0"/>
            <w:vAlign w:val="center"/>
          </w:tcPr>
          <w:p w14:paraId="3989F6AE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数据存储能力（PB）</w:t>
            </w:r>
          </w:p>
        </w:tc>
        <w:tc>
          <w:tcPr>
            <w:tcW w:w="2268" w:type="dxa"/>
            <w:noWrap w:val="0"/>
            <w:vAlign w:val="center"/>
          </w:tcPr>
          <w:p w14:paraId="04F3CBB6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3</w:t>
            </w:r>
            <w:r>
              <w:rPr>
                <w:rFonts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.</w:t>
            </w:r>
            <w:r>
              <w:rPr>
                <w:rFonts w:hint="eastAsia"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5</w:t>
            </w:r>
          </w:p>
        </w:tc>
      </w:tr>
      <w:tr w14:paraId="0CC7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noWrap w:val="0"/>
            <w:vAlign w:val="center"/>
          </w:tcPr>
          <w:p w14:paraId="2C8C0A81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3</w:t>
            </w:r>
          </w:p>
        </w:tc>
        <w:tc>
          <w:tcPr>
            <w:tcW w:w="4536" w:type="dxa"/>
            <w:noWrap w:val="0"/>
            <w:vAlign w:val="center"/>
          </w:tcPr>
          <w:p w14:paraId="29A07DC5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集装箱大型装卸设备自动化占比</w:t>
            </w:r>
          </w:p>
        </w:tc>
        <w:tc>
          <w:tcPr>
            <w:tcW w:w="2268" w:type="dxa"/>
            <w:noWrap w:val="0"/>
            <w:vAlign w:val="center"/>
          </w:tcPr>
          <w:p w14:paraId="32E630D5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88%</w:t>
            </w:r>
          </w:p>
        </w:tc>
      </w:tr>
      <w:tr w14:paraId="0A0D1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noWrap w:val="0"/>
            <w:vAlign w:val="center"/>
          </w:tcPr>
          <w:p w14:paraId="0E286A5B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4</w:t>
            </w:r>
          </w:p>
        </w:tc>
        <w:tc>
          <w:tcPr>
            <w:tcW w:w="4536" w:type="dxa"/>
            <w:noWrap w:val="0"/>
            <w:vAlign w:val="center"/>
          </w:tcPr>
          <w:p w14:paraId="7188414B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集装箱码头智能理货占比</w:t>
            </w:r>
          </w:p>
        </w:tc>
        <w:tc>
          <w:tcPr>
            <w:tcW w:w="2268" w:type="dxa"/>
            <w:noWrap w:val="0"/>
            <w:vAlign w:val="center"/>
          </w:tcPr>
          <w:p w14:paraId="2C0CC8D1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1</w:t>
            </w:r>
            <w:r>
              <w:rPr>
                <w:rFonts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00</w:t>
            </w:r>
            <w:r>
              <w:rPr>
                <w:rFonts w:hint="eastAsia"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%</w:t>
            </w:r>
          </w:p>
        </w:tc>
      </w:tr>
      <w:tr w14:paraId="700E6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noWrap w:val="0"/>
            <w:vAlign w:val="center"/>
          </w:tcPr>
          <w:p w14:paraId="2777D0B3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5</w:t>
            </w:r>
          </w:p>
        </w:tc>
        <w:tc>
          <w:tcPr>
            <w:tcW w:w="4536" w:type="dxa"/>
            <w:noWrap w:val="0"/>
            <w:vAlign w:val="center"/>
          </w:tcPr>
          <w:p w14:paraId="1565F33B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集装箱主要业务线上受理率</w:t>
            </w:r>
          </w:p>
        </w:tc>
        <w:tc>
          <w:tcPr>
            <w:tcW w:w="2268" w:type="dxa"/>
            <w:noWrap w:val="0"/>
            <w:vAlign w:val="center"/>
          </w:tcPr>
          <w:p w14:paraId="49F7EDC8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9</w:t>
            </w:r>
            <w:r>
              <w:rPr>
                <w:rFonts w:hint="eastAsia"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8%</w:t>
            </w:r>
          </w:p>
        </w:tc>
      </w:tr>
      <w:tr w14:paraId="52716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  <w:jc w:val="center"/>
        </w:trPr>
        <w:tc>
          <w:tcPr>
            <w:tcW w:w="1413" w:type="dxa"/>
            <w:noWrap w:val="0"/>
            <w:vAlign w:val="center"/>
          </w:tcPr>
          <w:p w14:paraId="1708E236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6</w:t>
            </w:r>
          </w:p>
        </w:tc>
        <w:tc>
          <w:tcPr>
            <w:tcW w:w="4536" w:type="dxa"/>
            <w:noWrap w:val="0"/>
            <w:vAlign w:val="center"/>
          </w:tcPr>
          <w:p w14:paraId="313537F6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集装箱主要业务单证电子化率</w:t>
            </w:r>
          </w:p>
        </w:tc>
        <w:tc>
          <w:tcPr>
            <w:tcW w:w="2268" w:type="dxa"/>
            <w:noWrap w:val="0"/>
            <w:vAlign w:val="center"/>
          </w:tcPr>
          <w:p w14:paraId="6230AA1A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1</w:t>
            </w:r>
            <w:r>
              <w:rPr>
                <w:rFonts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00</w:t>
            </w:r>
            <w:r>
              <w:rPr>
                <w:rFonts w:hint="eastAsia"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%</w:t>
            </w:r>
          </w:p>
        </w:tc>
      </w:tr>
      <w:tr w14:paraId="120C0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noWrap w:val="0"/>
            <w:vAlign w:val="center"/>
          </w:tcPr>
          <w:p w14:paraId="0CF00B85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7</w:t>
            </w:r>
          </w:p>
        </w:tc>
        <w:tc>
          <w:tcPr>
            <w:tcW w:w="4536" w:type="dxa"/>
            <w:noWrap w:val="0"/>
            <w:vAlign w:val="center"/>
          </w:tcPr>
          <w:p w14:paraId="3ED1CF0E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集装箱主要业务在线支付占比</w:t>
            </w:r>
          </w:p>
        </w:tc>
        <w:tc>
          <w:tcPr>
            <w:tcW w:w="2268" w:type="dxa"/>
            <w:noWrap w:val="0"/>
            <w:vAlign w:val="center"/>
          </w:tcPr>
          <w:p w14:paraId="000DB341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100%</w:t>
            </w:r>
          </w:p>
        </w:tc>
      </w:tr>
      <w:tr w14:paraId="528A7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noWrap w:val="0"/>
            <w:vAlign w:val="center"/>
          </w:tcPr>
          <w:p w14:paraId="4B1522E8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8</w:t>
            </w:r>
          </w:p>
        </w:tc>
        <w:tc>
          <w:tcPr>
            <w:tcW w:w="4536" w:type="dxa"/>
            <w:noWrap w:val="0"/>
            <w:vAlign w:val="center"/>
          </w:tcPr>
          <w:p w14:paraId="2615BD49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集装箱船舶直靠率（主要船公司）</w:t>
            </w:r>
          </w:p>
        </w:tc>
        <w:tc>
          <w:tcPr>
            <w:tcW w:w="2268" w:type="dxa"/>
            <w:noWrap w:val="0"/>
            <w:vAlign w:val="center"/>
          </w:tcPr>
          <w:p w14:paraId="4491C432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9</w:t>
            </w:r>
            <w:r>
              <w:rPr>
                <w:rFonts w:hint="eastAsia"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8</w:t>
            </w:r>
            <w:r>
              <w:rPr>
                <w:rFonts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%</w:t>
            </w:r>
          </w:p>
        </w:tc>
      </w:tr>
      <w:tr w14:paraId="7D581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noWrap w:val="0"/>
            <w:vAlign w:val="center"/>
          </w:tcPr>
          <w:p w14:paraId="5ECE6342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9</w:t>
            </w:r>
          </w:p>
        </w:tc>
        <w:tc>
          <w:tcPr>
            <w:tcW w:w="4536" w:type="dxa"/>
            <w:noWrap w:val="0"/>
            <w:vAlign w:val="center"/>
          </w:tcPr>
          <w:p w14:paraId="5FE317F6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集装箱平均在泊船时效率（3000TEU以上）（箱/小时）</w:t>
            </w:r>
          </w:p>
        </w:tc>
        <w:tc>
          <w:tcPr>
            <w:tcW w:w="2268" w:type="dxa"/>
            <w:noWrap w:val="0"/>
            <w:vAlign w:val="center"/>
          </w:tcPr>
          <w:p w14:paraId="741B7011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1</w:t>
            </w:r>
            <w:r>
              <w:rPr>
                <w:rFonts w:hint="eastAsia"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60</w:t>
            </w:r>
          </w:p>
        </w:tc>
      </w:tr>
      <w:tr w14:paraId="4E45F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0" w:hRule="atLeast"/>
          <w:jc w:val="center"/>
        </w:trPr>
        <w:tc>
          <w:tcPr>
            <w:tcW w:w="1413" w:type="dxa"/>
            <w:noWrap w:val="0"/>
            <w:vAlign w:val="center"/>
          </w:tcPr>
          <w:p w14:paraId="2BB64617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10</w:t>
            </w:r>
          </w:p>
        </w:tc>
        <w:tc>
          <w:tcPr>
            <w:tcW w:w="4536" w:type="dxa"/>
            <w:noWrap w:val="0"/>
            <w:vAlign w:val="center"/>
          </w:tcPr>
          <w:p w14:paraId="78A3FC88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集装箱重点作业线效率（M效率）</w:t>
            </w:r>
          </w:p>
          <w:p w14:paraId="34448E5E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（箱/小时）</w:t>
            </w:r>
          </w:p>
        </w:tc>
        <w:tc>
          <w:tcPr>
            <w:tcW w:w="2268" w:type="dxa"/>
            <w:noWrap w:val="0"/>
            <w:vAlign w:val="center"/>
          </w:tcPr>
          <w:p w14:paraId="6AB07C71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pacing w:val="-20"/>
                <w:sz w:val="28"/>
                <w:szCs w:val="28"/>
                <w:highlight w:val="none"/>
              </w:rPr>
              <w:t>32.5</w:t>
            </w:r>
          </w:p>
        </w:tc>
      </w:tr>
      <w:tr w14:paraId="7545B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413" w:type="dxa"/>
            <w:noWrap w:val="0"/>
            <w:vAlign w:val="center"/>
          </w:tcPr>
          <w:p w14:paraId="7F174181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11</w:t>
            </w:r>
          </w:p>
        </w:tc>
        <w:tc>
          <w:tcPr>
            <w:tcW w:w="4536" w:type="dxa"/>
            <w:noWrap w:val="0"/>
            <w:vAlign w:val="center"/>
          </w:tcPr>
          <w:p w14:paraId="33047E23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集团级数据入湖率</w:t>
            </w:r>
          </w:p>
        </w:tc>
        <w:tc>
          <w:tcPr>
            <w:tcW w:w="2268" w:type="dxa"/>
            <w:noWrap w:val="0"/>
            <w:vAlign w:val="center"/>
          </w:tcPr>
          <w:p w14:paraId="5F194A71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51%</w:t>
            </w:r>
          </w:p>
        </w:tc>
      </w:tr>
      <w:tr w14:paraId="37700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413" w:type="dxa"/>
            <w:noWrap w:val="0"/>
            <w:vAlign w:val="center"/>
          </w:tcPr>
          <w:p w14:paraId="67F97D26">
            <w:pPr>
              <w:spacing w:line="560" w:lineRule="exact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</w:rPr>
              <w:t>12</w:t>
            </w:r>
          </w:p>
        </w:tc>
        <w:tc>
          <w:tcPr>
            <w:tcW w:w="4536" w:type="dxa"/>
            <w:noWrap w:val="0"/>
            <w:vAlign w:val="center"/>
          </w:tcPr>
          <w:p w14:paraId="7800B120">
            <w:pPr>
              <w:spacing w:line="560" w:lineRule="exact"/>
              <w:jc w:val="center"/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2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2"/>
              </w:rPr>
              <w:t>安全环保领域人工智能应用场景</w:t>
            </w:r>
          </w:p>
          <w:p w14:paraId="72E53830">
            <w:pPr>
              <w:spacing w:line="560" w:lineRule="exact"/>
              <w:jc w:val="center"/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2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1"/>
              </w:rPr>
              <w:t>新增</w:t>
            </w: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2"/>
              </w:rPr>
              <w:t>“数字员工”（个）</w:t>
            </w:r>
          </w:p>
        </w:tc>
        <w:tc>
          <w:tcPr>
            <w:tcW w:w="2268" w:type="dxa"/>
            <w:noWrap w:val="0"/>
            <w:vAlign w:val="center"/>
          </w:tcPr>
          <w:p w14:paraId="3CDD556F">
            <w:pPr>
              <w:spacing w:line="560" w:lineRule="exact"/>
              <w:jc w:val="center"/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1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1"/>
              </w:rPr>
              <w:t>200</w:t>
            </w:r>
          </w:p>
        </w:tc>
      </w:tr>
      <w:tr w14:paraId="529E6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413" w:type="dxa"/>
            <w:noWrap w:val="0"/>
            <w:vAlign w:val="center"/>
          </w:tcPr>
          <w:p w14:paraId="28A20FDE">
            <w:pPr>
              <w:spacing w:line="560" w:lineRule="exact"/>
              <w:jc w:val="center"/>
              <w:rPr>
                <w:rFonts w:hint="default" w:ascii="Times New Roman" w:hAnsi="Times New Roman" w:eastAsia="仿宋_GB2312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val="en-US" w:eastAsia="zh-CN"/>
              </w:rPr>
              <w:t>13</w:t>
            </w:r>
          </w:p>
        </w:tc>
        <w:tc>
          <w:tcPr>
            <w:tcW w:w="4536" w:type="dxa"/>
            <w:noWrap w:val="0"/>
            <w:vAlign w:val="center"/>
          </w:tcPr>
          <w:p w14:paraId="55427FB3">
            <w:pPr>
              <w:spacing w:line="560" w:lineRule="exact"/>
              <w:jc w:val="center"/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2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2"/>
              </w:rPr>
              <w:t>生产经营领域人工智能应用场景</w:t>
            </w:r>
          </w:p>
          <w:p w14:paraId="588359FD">
            <w:pPr>
              <w:spacing w:line="560" w:lineRule="exact"/>
              <w:jc w:val="center"/>
              <w:rPr>
                <w:rFonts w:hint="default" w:ascii="Times New Roman" w:hAnsi="Times New Roman" w:eastAsia="仿宋_GB2312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1"/>
              </w:rPr>
              <w:t>新增</w:t>
            </w: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2"/>
              </w:rPr>
              <w:t>“数字员工”（个）</w:t>
            </w:r>
          </w:p>
        </w:tc>
        <w:tc>
          <w:tcPr>
            <w:tcW w:w="2268" w:type="dxa"/>
            <w:noWrap w:val="0"/>
            <w:vAlign w:val="center"/>
          </w:tcPr>
          <w:p w14:paraId="23E6F743">
            <w:pPr>
              <w:spacing w:line="560" w:lineRule="exact"/>
              <w:jc w:val="center"/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1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1"/>
              </w:rPr>
              <w:t>100</w:t>
            </w:r>
          </w:p>
        </w:tc>
      </w:tr>
      <w:tr w14:paraId="7B9D8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413" w:type="dxa"/>
            <w:noWrap w:val="0"/>
            <w:vAlign w:val="center"/>
          </w:tcPr>
          <w:p w14:paraId="63E79A27">
            <w:pPr>
              <w:spacing w:line="56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val="en-US" w:eastAsia="zh"/>
                <w:woUserID w:val="2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val="en-US" w:eastAsia="zh"/>
                <w:woUserID w:val="2"/>
              </w:rPr>
              <w:t>14</w:t>
            </w:r>
          </w:p>
        </w:tc>
        <w:tc>
          <w:tcPr>
            <w:tcW w:w="4536" w:type="dxa"/>
            <w:noWrap w:val="0"/>
            <w:vAlign w:val="center"/>
          </w:tcPr>
          <w:p w14:paraId="0D2EABF3">
            <w:pPr>
              <w:spacing w:line="56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2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2"/>
              </w:rPr>
              <w:t>综合管理领域人工智能应用场景</w:t>
            </w:r>
          </w:p>
          <w:p w14:paraId="0BD01AD7">
            <w:pPr>
              <w:spacing w:line="56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2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1"/>
              </w:rPr>
              <w:t>新增</w:t>
            </w: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2"/>
              </w:rPr>
              <w:t>“数字员工”（个）</w:t>
            </w:r>
          </w:p>
        </w:tc>
        <w:tc>
          <w:tcPr>
            <w:tcW w:w="2268" w:type="dxa"/>
            <w:noWrap w:val="0"/>
            <w:vAlign w:val="center"/>
          </w:tcPr>
          <w:p w14:paraId="291FE2CB">
            <w:pPr>
              <w:spacing w:line="56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1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1"/>
              </w:rPr>
              <w:t>500</w:t>
            </w:r>
          </w:p>
        </w:tc>
      </w:tr>
      <w:tr w14:paraId="7C254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413" w:type="dxa"/>
            <w:noWrap w:val="0"/>
            <w:vAlign w:val="center"/>
          </w:tcPr>
          <w:p w14:paraId="682D586B">
            <w:pPr>
              <w:spacing w:line="56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val="en-US" w:eastAsia="zh"/>
                <w:woUserID w:val="1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val="en-US" w:eastAsia="zh"/>
                <w:woUserID w:val="1"/>
              </w:rPr>
              <w:t>15</w:t>
            </w:r>
          </w:p>
        </w:tc>
        <w:tc>
          <w:tcPr>
            <w:tcW w:w="4536" w:type="dxa"/>
            <w:noWrap w:val="0"/>
            <w:vAlign w:val="center"/>
          </w:tcPr>
          <w:p w14:paraId="06D9ACBB">
            <w:pPr>
              <w:spacing w:line="56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2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2"/>
              </w:rPr>
              <w:t>“津港通”平台客户数（万）</w:t>
            </w:r>
          </w:p>
        </w:tc>
        <w:tc>
          <w:tcPr>
            <w:tcW w:w="2268" w:type="dxa"/>
            <w:noWrap w:val="0"/>
            <w:vAlign w:val="center"/>
          </w:tcPr>
          <w:p w14:paraId="5189289D">
            <w:pPr>
              <w:spacing w:line="56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1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1"/>
              </w:rPr>
              <w:t>2.5</w:t>
            </w:r>
          </w:p>
        </w:tc>
      </w:tr>
      <w:tr w14:paraId="2269F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413" w:type="dxa"/>
            <w:noWrap w:val="0"/>
            <w:vAlign w:val="center"/>
          </w:tcPr>
          <w:p w14:paraId="731AA7D6">
            <w:pPr>
              <w:spacing w:line="560" w:lineRule="exact"/>
              <w:jc w:val="center"/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val="en-US" w:eastAsia="zh"/>
                <w:woUserID w:val="1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val="en-US" w:eastAsia="zh"/>
                <w:woUserID w:val="1"/>
              </w:rPr>
              <w:t>6</w:t>
            </w:r>
          </w:p>
        </w:tc>
        <w:tc>
          <w:tcPr>
            <w:tcW w:w="4536" w:type="dxa"/>
            <w:noWrap w:val="0"/>
            <w:vAlign w:val="center"/>
          </w:tcPr>
          <w:p w14:paraId="77D6582F">
            <w:pPr>
              <w:spacing w:line="56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2"/>
              </w:rPr>
              <w:t>数字安全风险事件发生率</w:t>
            </w:r>
          </w:p>
        </w:tc>
        <w:tc>
          <w:tcPr>
            <w:tcW w:w="2268" w:type="dxa"/>
            <w:noWrap w:val="0"/>
            <w:vAlign w:val="center"/>
          </w:tcPr>
          <w:p w14:paraId="5494BED2">
            <w:pPr>
              <w:spacing w:line="560" w:lineRule="exact"/>
              <w:jc w:val="center"/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1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highlight w:val="none"/>
                <w:lang w:eastAsia="zh"/>
                <w:woUserID w:val="1"/>
              </w:rPr>
              <w:t>0</w:t>
            </w:r>
          </w:p>
        </w:tc>
      </w:tr>
    </w:tbl>
    <w:p w14:paraId="592E7659">
      <w:pPr>
        <w:pStyle w:val="10"/>
        <w:spacing w:line="560" w:lineRule="exact"/>
        <w:jc w:val="center"/>
        <w:rPr>
          <w:rFonts w:ascii="Times New Roman" w:hAnsi="Times New Roman" w:eastAsia="楷体_GB2312" w:cs="楷体_GB2312"/>
          <w:lang w:eastAsia="zh"/>
        </w:rPr>
      </w:pPr>
      <w:r>
        <w:rPr>
          <w:rFonts w:hint="eastAsia" w:ascii="楷体_GB2312" w:hAnsi="Times New Roman" w:eastAsia="楷体_GB2312" w:cs="楷体_GB2312"/>
          <w:color w:val="auto"/>
          <w:sz w:val="28"/>
          <w:szCs w:val="28"/>
          <w:highlight w:val="none"/>
          <w:lang w:bidi="ar"/>
        </w:rPr>
        <w:t>表</w:t>
      </w:r>
      <w:r>
        <w:rPr>
          <w:rFonts w:ascii="Times New Roman" w:hAnsi="Times New Roman" w:eastAsia="楷体_GB2312" w:cs="Times New Roman"/>
          <w:color w:val="auto"/>
          <w:sz w:val="28"/>
          <w:szCs w:val="28"/>
          <w:highlight w:val="none"/>
          <w:lang w:bidi="ar"/>
        </w:rPr>
        <w:t xml:space="preserve">  </w:t>
      </w:r>
      <w:r>
        <w:rPr>
          <w:rFonts w:hint="eastAsia" w:ascii="Times New Roman" w:hAnsi="Times New Roman" w:eastAsia="楷体_GB2312" w:cs="Times New Roman"/>
          <w:color w:val="auto"/>
          <w:sz w:val="28"/>
          <w:szCs w:val="28"/>
          <w:highlight w:val="none"/>
          <w:lang w:bidi="ar"/>
        </w:rPr>
        <w:t>202</w:t>
      </w:r>
      <w:r>
        <w:rPr>
          <w:rFonts w:hint="eastAsia" w:ascii="Times New Roman" w:hAnsi="Times New Roman" w:eastAsia="楷体_GB2312" w:cs="Times New Roman"/>
          <w:color w:val="auto"/>
          <w:sz w:val="28"/>
          <w:szCs w:val="28"/>
          <w:highlight w:val="none"/>
          <w:lang w:val="en-US" w:eastAsia="zh-CN" w:bidi="ar"/>
        </w:rPr>
        <w:t>6</w:t>
      </w:r>
      <w:r>
        <w:rPr>
          <w:rFonts w:hint="eastAsia" w:ascii="Times New Roman" w:hAnsi="Times New Roman" w:eastAsia="楷体_GB2312" w:cs="Times New Roman"/>
          <w:color w:val="auto"/>
          <w:sz w:val="28"/>
          <w:szCs w:val="28"/>
          <w:highlight w:val="none"/>
          <w:lang w:bidi="ar"/>
        </w:rPr>
        <w:t>年</w:t>
      </w:r>
      <w:r>
        <w:rPr>
          <w:rFonts w:hint="eastAsia" w:ascii="楷体_GB2312" w:hAnsi="Times New Roman" w:eastAsia="楷体_GB2312" w:cs="楷体_GB2312"/>
          <w:color w:val="auto"/>
          <w:sz w:val="28"/>
          <w:szCs w:val="28"/>
          <w:highlight w:val="none"/>
          <w:lang w:bidi="ar"/>
        </w:rPr>
        <w:t>智慧港口升级版建设指标情况</w:t>
      </w:r>
    </w:p>
    <w:p w14:paraId="5692F7A2">
      <w:pPr>
        <w:pStyle w:val="10"/>
        <w:numPr>
          <w:ilvl w:val="0"/>
          <w:numId w:val="0"/>
        </w:numPr>
        <w:spacing w:line="560" w:lineRule="exact"/>
        <w:ind w:firstLine="624" w:firstLineChars="200"/>
        <w:rPr>
          <w:rFonts w:hint="eastAsia" w:ascii="黑体" w:hAnsi="黑体" w:eastAsia="黑体" w:cs="黑体"/>
          <w:color w:val="000000"/>
          <w:spacing w:val="-4"/>
          <w:kern w:val="2"/>
          <w:sz w:val="32"/>
          <w:szCs w:val="32"/>
          <w:lang w:val="en-US" w:eastAsia="zh-CN" w:bidi="ar-SA"/>
        </w:rPr>
      </w:pPr>
    </w:p>
    <w:p w14:paraId="1C6F207C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24" w:firstLineChars="200"/>
        <w:outlineLvl w:val="0"/>
        <w:rPr>
          <w:rFonts w:hint="eastAsia" w:ascii="黑体" w:hAnsi="黑体" w:eastAsia="黑体" w:cs="黑体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color w:val="000000"/>
          <w:spacing w:val="-4"/>
          <w:kern w:val="2"/>
          <w:sz w:val="32"/>
          <w:szCs w:val="32"/>
          <w:lang w:val="en-US" w:eastAsia="zh-CN" w:bidi="ar-SA"/>
        </w:rPr>
        <w:t>四、</w:t>
      </w:r>
      <w:r>
        <w:rPr>
          <w:rFonts w:hint="eastAsia" w:ascii="黑体" w:hAnsi="黑体" w:eastAsia="黑体" w:cs="黑体"/>
          <w:lang w:val="en-US" w:eastAsia="zh-CN"/>
        </w:rPr>
        <w:t>主要任务</w:t>
      </w:r>
    </w:p>
    <w:p w14:paraId="16C54C48"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adjustRightInd/>
        <w:snapToGrid/>
        <w:spacing w:line="560" w:lineRule="exact"/>
        <w:ind w:firstLine="643" w:firstLineChars="0"/>
        <w:textAlignment w:val="auto"/>
        <w:outlineLvl w:val="1"/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yellow"/>
          <w:lang w:val="en-US" w:eastAsia="zh-CN" w:bidi="ar"/>
        </w:rPr>
      </w:pP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eastAsia="zh-CN" w:bidi="ar"/>
        </w:rPr>
        <w:t>（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val="en-US" w:eastAsia="zh-CN" w:bidi="ar"/>
        </w:rPr>
        <w:t>一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eastAsia="zh-CN" w:bidi="ar"/>
        </w:rPr>
        <w:t>）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val="en-US" w:eastAsia="zh-CN" w:bidi="ar"/>
        </w:rPr>
        <w:t>加快推进向航运服务智慧化转变</w:t>
      </w:r>
    </w:p>
    <w:p w14:paraId="4AEDA805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加快推进向航运服务智慧化转变，推动自动化码头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2.0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建设和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3.0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探索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"/>
          <w:woUserID w:val="1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woUserID w:val="1"/>
        </w:rPr>
        <w:t>聚焦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"/>
          <w:woUserID w:val="1"/>
        </w:rPr>
        <w:t>海上智慧化建设，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推进自主可控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JTOS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"/>
          <w:woUserID w:val="1"/>
        </w:rPr>
        <w:t>在全港应用，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通过“生产+交易”双维度升级，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"/>
          <w:woUserID w:val="1"/>
        </w:rPr>
        <w:t>进一步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打通港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"/>
        </w:rPr>
        <w:t>航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服务全链条，强化生产作业智能化水平与交易服务便捷化程度，实现全流程智慧赋能，提升港口综合服务竞争力。</w:t>
      </w:r>
    </w:p>
    <w:p w14:paraId="5357F463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 w:val="0"/>
        <w:autoSpaceDN/>
        <w:bidi w:val="0"/>
        <w:adjustRightInd/>
        <w:snapToGrid/>
        <w:spacing w:line="560" w:lineRule="exact"/>
        <w:ind w:left="0" w:leftChars="0" w:firstLine="643" w:firstLineChars="0"/>
        <w:textAlignment w:val="auto"/>
        <w:outlineLvl w:val="2"/>
        <w:rPr>
          <w:rFonts w:hint="default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-CN" w:bidi="ar"/>
        </w:rPr>
        <w:t>1.大力推进</w:t>
      </w: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bidi="ar"/>
        </w:rPr>
        <w:t>陆海</w:t>
      </w: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-CN" w:bidi="ar"/>
        </w:rPr>
        <w:t>生产智能升级</w:t>
      </w:r>
    </w:p>
    <w:p w14:paraId="0AA46168"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（1）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"/>
          <w:woUserID w:val="1"/>
        </w:rPr>
        <w:t>推进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智慧航道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设计与实施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"/>
          <w:woUserID w:val="1"/>
        </w:rPr>
        <w:t>，拟重点围绕“数字底座”开展核心能力建设，构建航道多源感知数据汇聚、智能数据生产、数据中台治理、一张图服务体系，为后续各类智慧应用场景落地提供坚实的数据支撑，奠定天津港智慧航道规模化、场景化应用的基础。</w:t>
      </w:r>
    </w:p>
    <w:p w14:paraId="1542D94E">
      <w:pPr>
        <w:keepNext w:val="0"/>
        <w:keepLines w:val="0"/>
        <w:pageBreakBefore w:val="0"/>
        <w:widowControl/>
        <w:numPr>
          <w:ilvl w:val="1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实施水上交通协同管控中心建设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5"/>
        </w:rPr>
        <w:t>，提升天津港与海事部门的业务协同能力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围绕业务场景需求，配套完成基础设施建设；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升级智慧引航系统,实现海事业务、港口调度、引航作业、拖轮调度等数据汇聚与协同，引入港口数据和进出港船舶实时动态信息，12月底前具备系统部署上线条件，创建港口调度、拖轮、引航和交通组织一体化的新模式。</w:t>
      </w:r>
    </w:p>
    <w:p w14:paraId="1E11ECF8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0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  <w:woUserID w:val="0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0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  <w:woUserID w:val="0"/>
        </w:rPr>
        <w:t>）强化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智能纯电动拖轮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0"/>
        </w:rPr>
        <w:t>改造运营，高质量完成集团公司首艘纯电智能拖轮建造工作，高标准推进分段制造、船台合拢、下水、水下舾装、设备安装、试航等建设环节，8月份完成拖轮交付到港。</w:t>
      </w:r>
    </w:p>
    <w:p w14:paraId="00ECBB81"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/>
        <w:snapToGrid/>
        <w:spacing w:line="560" w:lineRule="exact"/>
        <w:ind w:firstLine="640" w:firstLineChars="200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持续开展新一代集装箱码头管控系统（JTOS）优化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研究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，深化人工智能技术在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  <w:woUserID w:val="1"/>
        </w:rPr>
        <w:t>专家派位、智能配载、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智能指泊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  <w:woUserID w:val="1"/>
        </w:rPr>
        <w:t>等高阶算法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研发和应用，12月底前完成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算法全面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迭代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升级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，</w:t>
      </w:r>
      <w:r>
        <w:rPr>
          <w:rFonts w:hint="eastAsia" w:ascii="仿宋_GB2312" w:hAnsi="等线" w:eastAsia="仿宋_GB2312" w:cs="仿宋_GB2312"/>
          <w:kern w:val="2"/>
          <w:sz w:val="32"/>
          <w:szCs w:val="32"/>
          <w:lang w:val="en-US" w:eastAsia="zh" w:bidi="ar"/>
          <w:woUserID w:val="3"/>
        </w:rPr>
        <w:t>助力集装箱码头作业效率提升。</w:t>
      </w:r>
    </w:p>
    <w:p w14:paraId="70FEDA53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5"/>
        </w:rPr>
        <w:t>（5）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推进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5"/>
        </w:rPr>
        <w:t>集装箱自动化改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  <w:woUserID w:val="5"/>
        </w:rPr>
        <w:t>造研究与应用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"/>
          <w:woUserID w:val="1"/>
        </w:rPr>
        <w:t>，</w:t>
      </w:r>
      <w:r>
        <w:rPr>
          <w:rFonts w:ascii="仿宋_GB2312" w:hAnsi="宋体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注重安全生产，注重作业效率、注重实施顺序</w:t>
      </w:r>
      <w:r>
        <w:rPr>
          <w:rFonts w:hint="eastAsia" w:ascii="仿宋_GB2312" w:hAnsi="宋体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"/>
          <w:woUserID w:val="5"/>
        </w:rPr>
        <w:t>力争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"/>
          <w:woUserID w:val="1"/>
        </w:rPr>
        <w:t>12月底前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"/>
          <w:woUserID w:val="5"/>
        </w:rPr>
        <w:t>，</w:t>
      </w:r>
      <w:r>
        <w:rPr>
          <w:rFonts w:ascii="仿宋_GB2312" w:hAnsi="宋体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太平洋国际公司、欧亚国际公司均具备三个泊位全流程自动化作业能力</w:t>
      </w:r>
      <w:r>
        <w:rPr>
          <w:rFonts w:hint="eastAsia" w:ascii="仿宋_GB2312" w:hAnsi="宋体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，实现集团公司集装箱全流程自动化作业泊位数量超过50%目标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"/>
          <w:woUserID w:val="5"/>
        </w:rPr>
        <w:t>；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"/>
          <w:woUserID w:val="1"/>
        </w:rPr>
        <w:t>加大技术攻关力度，力争攻克传统集装箱码头全域混行、作业调序、路径规划、四绳双箱轮胎吊自动化等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  <w:woUserID w:val="1"/>
        </w:rPr>
        <w:t>攻坚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"/>
          <w:woUserID w:val="1"/>
        </w:rPr>
        <w:t>难题，引领行业发展；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"/>
          <w:woUserID w:val="5"/>
        </w:rPr>
        <w:t>统筹推进堆存场地改造提升、配套信息系统升级改造及ART优化提升等关键任务。推动煤码头新采购自动化门机交付及调试，三季度形成自动化作业能力。推进智能网联车进出卡口作业，实现全流程自动自动驾驶。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  <w:woUserID w:val="5"/>
        </w:rPr>
        <w:t>积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  <w:woUserID w:val="1"/>
        </w:rPr>
        <w:t>极探索干散货自动驾驶示范区建设。</w:t>
      </w:r>
    </w:p>
    <w:p w14:paraId="3117AE2B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rightChars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"/>
          <w:woUserID w:val="3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"/>
          <w:woUserID w:val="3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3"/>
        </w:rPr>
        <w:t>6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"/>
          <w:woUserID w:val="3"/>
        </w:rPr>
        <w:t>）开展集装箱码头水平运输系统技术攻关，推进新一代集装箱码头智能水平运输系统（FMS）研发，实现对ART、有人外集卡、有人内集卡的智能化调度与管理，支持开展高效协同作业，具备支撑欧亚国际公司3个泊位全流程自动化作业能力。</w:t>
      </w:r>
    </w:p>
    <w:p w14:paraId="112999C1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 w:val="0"/>
        <w:autoSpaceDN/>
        <w:bidi w:val="0"/>
        <w:adjustRightInd/>
        <w:snapToGrid/>
        <w:spacing w:line="560" w:lineRule="exact"/>
        <w:ind w:left="0" w:leftChars="0" w:firstLine="643" w:firstLineChars="0"/>
        <w:textAlignment w:val="auto"/>
        <w:outlineLvl w:val="2"/>
        <w:rPr>
          <w:rFonts w:hint="default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-CN" w:bidi="ar"/>
        </w:rPr>
        <w:t>2.大力推进交易便捷智能升级</w:t>
      </w:r>
    </w:p>
    <w:p w14:paraId="11D1ECA2"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4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  <w:woUserID w:val="4"/>
        </w:rPr>
        <w:t>（1）深化</w:t>
      </w:r>
      <w:r>
        <w:rPr>
          <w:rFonts w:hint="default" w:ascii="仿宋_GB2312" w:hAnsi="Times New Roman" w:eastAsia="仿宋_GB2312" w:cs="仿宋_GB2312"/>
          <w:kern w:val="2"/>
          <w:sz w:val="32"/>
          <w:szCs w:val="32"/>
          <w:lang w:val="en-US" w:eastAsia="zh-CN" w:bidi="ar"/>
          <w:woUserID w:val="4"/>
        </w:rPr>
        <w:t>“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  <w:woUserID w:val="4"/>
        </w:rPr>
        <w:t>津港通</w:t>
      </w:r>
      <w:r>
        <w:rPr>
          <w:rFonts w:hint="default" w:ascii="仿宋_GB2312" w:hAnsi="Times New Roman" w:eastAsia="仿宋_GB2312" w:cs="仿宋_GB2312"/>
          <w:kern w:val="2"/>
          <w:sz w:val="32"/>
          <w:szCs w:val="32"/>
          <w:lang w:val="en-US" w:eastAsia="zh-CN" w:bidi="ar"/>
          <w:woUserID w:val="4"/>
        </w:rPr>
        <w:t>”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  <w:woUserID w:val="4"/>
        </w:rPr>
        <w:t>平台功能建设，提升全货类线上受理率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4"/>
        </w:rPr>
        <w:t>。充分结合“延链年”工作任务，整合物流服务产品资源，打造集船舶代理、订舱、报关报检、查验、堆场、仓储和公路运输、内陆网络、铁水联运为一体的全程物流服务功能，提升港口物流服务的线上化、协同化能力，加强与供应链各方数据交互，以“一站式”服务提升客户体验。</w:t>
      </w:r>
    </w:p>
    <w:p w14:paraId="64A32656"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4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  <w:woUserID w:val="4"/>
        </w:rPr>
        <w:t>（2）外部车辆集约管控系统6月底前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4"/>
        </w:rPr>
        <w:t>完成集装箱板块上线运行，补全津港通APP功能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  <w:woUserID w:val="4"/>
        </w:rPr>
        <w:t>，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4"/>
        </w:rPr>
        <w:t>整体覆盖集装箱板块，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  <w:woUserID w:val="4"/>
        </w:rPr>
        <w:t>实现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4"/>
        </w:rPr>
        <w:t>外集卡车辆有效管控；推动件杂货板块系统功能开发及测试工作，在部分码头启动测试运行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  <w:woUserID w:val="4"/>
        </w:rPr>
        <w:t>。</w:t>
      </w:r>
    </w:p>
    <w:p w14:paraId="210F2084"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4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  <w:woUserID w:val="4"/>
        </w:rPr>
        <w:t>（3）加强关港企数据共享、协同共治机制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1"/>
        </w:rPr>
        <w:t>。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4"/>
        </w:rPr>
        <w:t>积极对接海关、边检、中国数联物流集团等关港企相关单位，依托集团统一数据治理平台、数据资源门户服务能力，健全集团数据共享开放管理机制，强化数据安全技术保障，促进关港企数据标准共建与数据流通开发利用。</w:t>
      </w:r>
    </w:p>
    <w:p w14:paraId="7FC31A7D"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（4）推进</w:t>
      </w:r>
      <w:r>
        <w:rPr>
          <w:rFonts w:hint="default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供应链贸易智能管理系统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开发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1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3"/>
        </w:rPr>
        <w:t>结合东疆国贸公司贸易物流业务需求，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构建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3"/>
        </w:rPr>
        <w:t>全程业务逻辑操作和风险控制流程，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完善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3"/>
        </w:rPr>
        <w:t>贸易合同、结算、出入库等全生命周期的供应链管理规范，建立编码标准体系，规范全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3"/>
        </w:rPr>
        <w:t>数据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标准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3"/>
        </w:rPr>
        <w:t>，实现精准数据采集和数据管理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，力争12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1"/>
        </w:rPr>
        <w:t>月底前上线测试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3"/>
        </w:rPr>
        <w:t>。</w:t>
      </w:r>
    </w:p>
    <w:p w14:paraId="3B247ACB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40" w:firstLineChars="200"/>
        <w:jc w:val="left"/>
        <w:textAlignment w:val="auto"/>
        <w:rPr>
          <w:rFonts w:hint="eastAsia" w:ascii="仿宋_GB2312" w:hAnsi="Times New Roman" w:eastAsia="仿宋_GB2312" w:cs="仿宋_GB2312"/>
          <w:kern w:val="2"/>
          <w:sz w:val="32"/>
          <w:szCs w:val="32"/>
          <w:highlight w:val="yellow"/>
          <w:lang w:val="en-US" w:eastAsia="zh" w:bidi="ar"/>
          <w:woUserID w:val="1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（5）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1"/>
        </w:rPr>
        <w:t>全面升级招采平台，构建“招、投、开、评、定”全过程节点的可视化流程管理，实现招投标文件模块化编辑、电子签章、结构化评审等全流程线上化，优化专家抽取与签到功能增强电子开评标能力，进一步强化围标串标预警，提升风险识别与防范能力，力争6月底前上线测试。</w:t>
      </w:r>
    </w:p>
    <w:p w14:paraId="07A96794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rightChars="0" w:firstLine="640" w:firstLineChars="200"/>
        <w:jc w:val="left"/>
        <w:textAlignment w:val="auto"/>
        <w:outlineLvl w:val="1"/>
        <w:rPr>
          <w:rFonts w:hint="default" w:ascii="楷体_GB2312" w:hAnsi="楷体_GB2312" w:eastAsia="楷体_GB2312" w:cs="楷体_GB2312"/>
          <w:b w:val="0"/>
          <w:bCs/>
          <w:sz w:val="32"/>
          <w:szCs w:val="32"/>
          <w:highlight w:val="none"/>
          <w:lang w:val="en-US" w:eastAsia="zh-CN" w:bidi="ar"/>
        </w:rPr>
      </w:pP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val="en-US" w:eastAsia="zh-CN" w:bidi="ar"/>
        </w:rPr>
        <w:t>（二）深耕人工智能全场景赋能</w:t>
      </w:r>
    </w:p>
    <w:p w14:paraId="430D0991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560" w:lineRule="exact"/>
        <w:ind w:left="0" w:right="0" w:firstLine="640" w:firstLineChars="200"/>
        <w:jc w:val="both"/>
        <w:rPr>
          <w:rFonts w:hint="default" w:ascii="仿宋_GB2312" w:hAnsi="Times New Roman" w:eastAsia="仿宋_GB2312" w:cs="仿宋_GB2312"/>
          <w:kern w:val="2"/>
          <w:sz w:val="32"/>
          <w:szCs w:val="32"/>
          <w:highlight w:val="none"/>
          <w:woUserID w:val="1"/>
        </w:rPr>
      </w:pPr>
      <w:r>
        <w:rPr>
          <w:rFonts w:hint="default" w:ascii="仿宋_GB2312" w:hAnsi="Times New Roman" w:eastAsia="仿宋_GB2312" w:cs="仿宋_GB2312"/>
          <w:kern w:val="2"/>
          <w:sz w:val="32"/>
          <w:szCs w:val="32"/>
          <w:highlight w:val="none"/>
          <w:lang w:val="en-US" w:eastAsia="zh-CN" w:bidi="ar"/>
          <w:woUserID w:val="1"/>
        </w:rPr>
        <w:t>以人工智能技术为驱动，深度融入办公、管理、经营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highlight w:val="none"/>
          <w:lang w:val="en-US" w:eastAsia="zh" w:bidi="ar"/>
          <w:woUserID w:val="1"/>
        </w:rPr>
        <w:t>等流程</w:t>
      </w:r>
      <w:r>
        <w:rPr>
          <w:rFonts w:hint="default" w:ascii="仿宋_GB2312" w:hAnsi="Times New Roman" w:eastAsia="仿宋_GB2312" w:cs="仿宋_GB2312"/>
          <w:kern w:val="2"/>
          <w:sz w:val="32"/>
          <w:szCs w:val="32"/>
          <w:highlight w:val="none"/>
          <w:lang w:val="en-US" w:eastAsia="zh-CN" w:bidi="ar"/>
          <w:woUserID w:val="1"/>
        </w:rPr>
        <w:t>，聚焦人工智能技术的场景化落地，推动管理模式从“经验驱动”向“数据智能驱动”，依托云上平台、智能系统等载体，将 AI 应用贯穿办公协同、安全管控、经营分析等关键环节，持续提升管理效率与经营决策科学性，为港口精细化运营提供有力支撑。</w:t>
      </w:r>
    </w:p>
    <w:p w14:paraId="4121D2FE"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/>
        <w:snapToGrid/>
        <w:spacing w:line="560" w:lineRule="exact"/>
        <w:ind w:firstLine="640" w:firstLineChars="200"/>
        <w:outlineLvl w:val="2"/>
        <w:rPr>
          <w:rFonts w:hint="default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-CN" w:bidi="ar"/>
        </w:rPr>
        <w:t>1.大力推进管理办公智慧赋能</w:t>
      </w:r>
    </w:p>
    <w:p w14:paraId="46285049"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/>
        <w:snapToGrid/>
        <w:spacing w:line="560" w:lineRule="exact"/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（1）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1"/>
        </w:rPr>
        <w:t>推动“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云上天津港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1"/>
        </w:rPr>
        <w:t>”平台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推广覆盖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1"/>
        </w:rPr>
        <w:t>，</w:t>
      </w:r>
      <w:r>
        <w:rPr>
          <w:rFonts w:hint="default" w:ascii="仿宋_GB2312" w:hAnsi="等线" w:eastAsia="仿宋_GB2312" w:cs="仿宋_GB2312"/>
          <w:kern w:val="2"/>
          <w:sz w:val="32"/>
          <w:szCs w:val="32"/>
          <w:lang w:val="en-US" w:eastAsia="zh-CN" w:bidi="ar"/>
          <w:woUserID w:val="1"/>
        </w:rPr>
        <w:t>基于网络安全与数据安全双提升理念，</w:t>
      </w:r>
      <w:r>
        <w:rPr>
          <w:rFonts w:hint="eastAsia" w:ascii="仿宋_GB2312" w:hAnsi="等线" w:eastAsia="仿宋_GB2312" w:cs="仿宋_GB2312"/>
          <w:kern w:val="2"/>
          <w:sz w:val="32"/>
          <w:szCs w:val="32"/>
          <w:lang w:val="en-US" w:eastAsia="zh" w:bidi="ar"/>
          <w:woUserID w:val="1"/>
        </w:rPr>
        <w:t>采用</w:t>
      </w:r>
      <w:r>
        <w:rPr>
          <w:rFonts w:hint="default" w:ascii="仿宋_GB2312" w:hAnsi="等线" w:eastAsia="仿宋_GB2312" w:cs="仿宋_GB2312"/>
          <w:kern w:val="2"/>
          <w:sz w:val="32"/>
          <w:szCs w:val="32"/>
          <w:lang w:val="en-US" w:eastAsia="zh-CN" w:bidi="ar"/>
          <w:woUserID w:val="1"/>
        </w:rPr>
        <w:t>统一身份认证、统一移动端出口</w:t>
      </w:r>
      <w:r>
        <w:rPr>
          <w:rFonts w:hint="eastAsia" w:ascii="仿宋_GB2312" w:hAnsi="等线" w:eastAsia="仿宋_GB2312" w:cs="仿宋_GB2312"/>
          <w:kern w:val="2"/>
          <w:sz w:val="32"/>
          <w:szCs w:val="32"/>
          <w:lang w:val="en-US" w:eastAsia="zh" w:bidi="ar"/>
          <w:woUserID w:val="1"/>
        </w:rPr>
        <w:t>等技术，将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1"/>
        </w:rPr>
        <w:t>“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  <w:woUserID w:val="1"/>
        </w:rPr>
        <w:t>云上天津港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1"/>
        </w:rPr>
        <w:t>”打造为集团公司</w:t>
      </w:r>
      <w:r>
        <w:rPr>
          <w:rFonts w:hint="default" w:ascii="仿宋_GB2312" w:hAnsi="等线" w:eastAsia="仿宋_GB2312" w:cs="仿宋_GB2312"/>
          <w:kern w:val="2"/>
          <w:sz w:val="32"/>
          <w:szCs w:val="32"/>
          <w:lang w:val="en-US" w:eastAsia="zh-CN" w:bidi="ar"/>
          <w:woUserID w:val="1"/>
        </w:rPr>
        <w:t>协同</w:t>
      </w:r>
      <w:r>
        <w:rPr>
          <w:rFonts w:hint="eastAsia" w:ascii="仿宋_GB2312" w:hAnsi="等线" w:eastAsia="仿宋_GB2312" w:cs="仿宋_GB2312"/>
          <w:kern w:val="2"/>
          <w:sz w:val="32"/>
          <w:szCs w:val="32"/>
          <w:lang w:val="en-US" w:eastAsia="zh" w:bidi="ar"/>
          <w:woUserID w:val="1"/>
        </w:rPr>
        <w:t>办公领域的</w:t>
      </w:r>
      <w:r>
        <w:rPr>
          <w:rFonts w:hint="default" w:ascii="仿宋_GB2312" w:hAnsi="等线" w:eastAsia="仿宋_GB2312" w:cs="仿宋_GB2312"/>
          <w:kern w:val="2"/>
          <w:sz w:val="32"/>
          <w:szCs w:val="32"/>
          <w:lang w:val="en-US" w:eastAsia="zh-CN" w:bidi="ar"/>
          <w:woUserID w:val="1"/>
        </w:rPr>
        <w:t>统一移动</w:t>
      </w:r>
      <w:r>
        <w:rPr>
          <w:rFonts w:hint="eastAsia" w:ascii="仿宋_GB2312" w:hAnsi="等线" w:eastAsia="仿宋_GB2312" w:cs="仿宋_GB2312"/>
          <w:kern w:val="2"/>
          <w:sz w:val="32"/>
          <w:szCs w:val="32"/>
          <w:lang w:val="en-US" w:eastAsia="zh" w:bidi="ar"/>
          <w:woUserID w:val="1"/>
        </w:rPr>
        <w:t>门户，</w:t>
      </w:r>
      <w:r>
        <w:rPr>
          <w:rFonts w:hint="eastAsia" w:ascii="仿宋_GB2312" w:hAnsi="等线" w:eastAsia="仿宋_GB2312" w:cs="仿宋_GB2312"/>
          <w:kern w:val="2"/>
          <w:sz w:val="32"/>
          <w:szCs w:val="32"/>
          <w:lang w:val="en-US" w:eastAsia="zh-CN" w:bidi="ar"/>
          <w:woUserID w:val="1"/>
        </w:rPr>
        <w:t>6月底前</w:t>
      </w:r>
      <w:r>
        <w:rPr>
          <w:rFonts w:hint="default" w:ascii="仿宋_GB2312" w:hAnsi="等线" w:eastAsia="仿宋_GB2312" w:cs="仿宋_GB2312"/>
          <w:kern w:val="2"/>
          <w:sz w:val="32"/>
          <w:szCs w:val="32"/>
          <w:lang w:val="en-US" w:eastAsia="zh-CN" w:bidi="ar"/>
          <w:woUserID w:val="1"/>
        </w:rPr>
        <w:t>在集团公司范围内推广应用。</w:t>
      </w:r>
    </w:p>
    <w:p w14:paraId="3D2DC880"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等线" w:eastAsia="仿宋_GB2312" w:cs="仿宋_GB2312"/>
          <w:kern w:val="2"/>
          <w:sz w:val="32"/>
          <w:szCs w:val="32"/>
          <w:lang w:val="en-US" w:eastAsia="zh" w:bidi="ar"/>
          <w:woUserID w:val="1"/>
        </w:rPr>
      </w:pPr>
      <w:r>
        <w:rPr>
          <w:rFonts w:hint="eastAsia" w:ascii="仿宋_GB2312" w:hAnsi="等线" w:eastAsia="仿宋_GB2312" w:cs="仿宋_GB2312"/>
          <w:kern w:val="2"/>
          <w:sz w:val="32"/>
          <w:szCs w:val="32"/>
          <w:lang w:val="en-US" w:eastAsia="zh-CN" w:bidi="ar"/>
          <w:woUserID w:val="1"/>
        </w:rPr>
        <w:t>（2）深化OA办公人工智能应用</w:t>
      </w:r>
      <w:r>
        <w:rPr>
          <w:rFonts w:hint="eastAsia" w:ascii="仿宋_GB2312" w:hAnsi="等线" w:eastAsia="仿宋_GB2312" w:cs="仿宋_GB2312"/>
          <w:kern w:val="2"/>
          <w:sz w:val="32"/>
          <w:szCs w:val="32"/>
          <w:lang w:val="en-US" w:eastAsia="zh" w:bidi="ar"/>
          <w:woUserID w:val="1"/>
        </w:rPr>
        <w:t>。充分结合OA升级工作，主要从AI“查”、AI“办”、AI“看”、辅助工具等方面深化办公场景人工智能应用，在公文查询、流程流转、公文发起、流程审批、核对校验、数据分析等方面，提升办公智能化水平，依托文档平台和通用大模型能力，提供办公辅助能力。</w:t>
      </w:r>
    </w:p>
    <w:p w14:paraId="3DBAFB05"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完善安全环保应急指挥系统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1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3"/>
        </w:rPr>
        <w:t>持续推进科技兴安再深化。升级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  <w:woUserID w:val="3"/>
        </w:rPr>
        <w:t>安环应急全时域管控平台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" w:bidi="ar"/>
          <w:woUserID w:val="3"/>
        </w:rPr>
        <w:t>，结合大数据分析建设告警中心，打造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  <w:woUserID w:val="3"/>
        </w:rPr>
        <w:t>气象预警、防汛防潮预警、大气监测预警、AI视频告警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" w:bidi="ar"/>
          <w:woUserID w:val="3"/>
        </w:rPr>
        <w:t>能力，实现安全风险实时感知、提前预警、提早处置。</w:t>
      </w:r>
    </w:p>
    <w:p w14:paraId="14944AFB"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3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安全生产管理智能视频应用推广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1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6"/>
        </w:rPr>
        <w:t>升级视频监控平台，构建集团统一的安全智能分析能力，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6"/>
        </w:rPr>
        <w:t>集成视频管理、算法管理、告警分析等功能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为基础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6"/>
        </w:rPr>
        <w:t>，打造易用、稳定、高效的应用体系。</w:t>
      </w:r>
    </w:p>
    <w:p w14:paraId="0A7698D8"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3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开展智慧</w:t>
      </w:r>
      <w:r>
        <w:rPr>
          <w:rFonts w:hint="default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医院建设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与医疗场景数智化融合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1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3"/>
        </w:rPr>
        <w:t>持续推进互联网+医院建设，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升级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3"/>
        </w:rPr>
        <w:t>上线智慧门诊、智慧住院、智慧体检、智慧康养等互联网服务模式，切实提升患者就诊便利度与满意度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，同时做好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3"/>
        </w:rPr>
        <w:t>个人信息安全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管理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3"/>
        </w:rPr>
        <w:t>。</w:t>
      </w:r>
    </w:p>
    <w:p w14:paraId="2FC0E078"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/>
        <w:snapToGrid/>
        <w:spacing w:line="560" w:lineRule="exact"/>
        <w:ind w:firstLine="640" w:firstLineChars="200"/>
        <w:outlineLvl w:val="2"/>
        <w:rPr>
          <w:rFonts w:hint="default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-CN" w:bidi="ar"/>
        </w:rPr>
        <w:t>2.大力推进经营管理智慧赋能</w:t>
      </w:r>
    </w:p>
    <w:p w14:paraId="6DB35A57"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推进财务共享项目建设，对会计核算、财务共享、财务预算、合同管理系统进行一体化升级，打造新一代自主可控的国产化财务管理系统。在共享服务智能化、报表编报自动化、预算管控过程化等方面取得新突破，推动财务管理由“核算型”向“管理型”转变，6月底前具备项目启动条件。</w:t>
      </w:r>
    </w:p>
    <w:p w14:paraId="77E8D93D"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  <w:woUserID w:val="1"/>
        </w:rPr>
        <w:t>（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1"/>
        </w:rPr>
        <w:t>2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  <w:woUserID w:val="1"/>
        </w:rPr>
        <w:t>）统筹综合管控平台功能与协同优化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1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升级固定资产投资项目管理子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系统，完善全面预算管理系统功能，8月底前上线测试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推进综合管控系统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业财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数据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融合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，提升数据准确、完整、及时汇聚，支撑经营管理决策用数需求。</w:t>
      </w:r>
    </w:p>
    <w:p w14:paraId="580130B6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 w:val="0"/>
        <w:autoSpaceDN/>
        <w:bidi w:val="0"/>
        <w:adjustRightInd/>
        <w:snapToGrid/>
        <w:spacing w:line="560" w:lineRule="exact"/>
        <w:ind w:left="0" w:leftChars="0" w:firstLine="643" w:firstLineChars="0"/>
        <w:textAlignment w:val="auto"/>
        <w:outlineLvl w:val="1"/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val="en-US" w:eastAsia="zh-CN" w:bidi="ar"/>
        </w:rPr>
      </w:pPr>
      <w:r>
        <w:rPr>
          <w:rFonts w:hint="eastAsia" w:ascii="楷体_GB2312" w:hAnsi="楷体_GB2312" w:eastAsia="楷体_GB2312" w:cs="楷体_GB2312"/>
          <w:b w:val="0"/>
          <w:bCs/>
          <w:kern w:val="2"/>
          <w:sz w:val="32"/>
          <w:szCs w:val="32"/>
          <w:lang w:val="en-US" w:eastAsia="zh-CN" w:bidi="ar"/>
        </w:rPr>
        <w:t>（三）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val="en-US" w:eastAsia="zh-CN" w:bidi="ar"/>
        </w:rPr>
        <w:t>推进数字产业筑基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val="en-US" w:eastAsia="zh" w:bidi="ar"/>
          <w:woUserID w:val="1"/>
        </w:rPr>
        <w:t>拓展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  <w:lang w:val="en-US" w:eastAsia="zh-CN" w:bidi="ar"/>
        </w:rPr>
        <w:t xml:space="preserve">  </w:t>
      </w:r>
    </w:p>
    <w:p w14:paraId="41784ECF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560" w:lineRule="exact"/>
        <w:ind w:left="0" w:right="0" w:firstLine="640" w:firstLineChars="200"/>
        <w:jc w:val="both"/>
        <w:rPr>
          <w:rFonts w:hint="default" w:ascii="楷体_GB2312" w:eastAsia="楷体_GB2312" w:cs="楷体_GB2312"/>
          <w:b w:val="0"/>
          <w:bCs/>
          <w:kern w:val="2"/>
          <w:sz w:val="32"/>
          <w:szCs w:val="32"/>
          <w:highlight w:val="none"/>
          <w:woUserID w:val="1"/>
        </w:rPr>
      </w:pPr>
      <w:r>
        <w:rPr>
          <w:rFonts w:hint="default" w:ascii="仿宋_GB2312" w:hAnsi="Calibri" w:eastAsia="仿宋_GB2312" w:cs="仿宋_GB2312"/>
          <w:kern w:val="2"/>
          <w:sz w:val="32"/>
          <w:szCs w:val="32"/>
          <w:highlight w:val="none"/>
          <w:lang w:val="en-US" w:eastAsia="zh-CN" w:bidi="ar"/>
          <w:woUserID w:val="1"/>
        </w:rPr>
        <w:t>立足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highlight w:val="none"/>
          <w:lang w:val="en-US" w:eastAsia="zh" w:bidi="ar"/>
          <w:woUserID w:val="1"/>
        </w:rPr>
        <w:t>“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highlight w:val="none"/>
          <w:lang w:val="en-US" w:eastAsia="zh-CN" w:bidi="ar"/>
          <w:woUserID w:val="1"/>
        </w:rPr>
        <w:t>内筑底座、外拓市场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highlight w:val="none"/>
          <w:lang w:val="en-US" w:eastAsia="zh" w:bidi="ar"/>
          <w:woUserID w:val="1"/>
        </w:rPr>
        <w:t>”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highlight w:val="none"/>
          <w:lang w:val="en-US" w:eastAsia="zh-CN" w:bidi="ar"/>
          <w:woUserID w:val="1"/>
        </w:rPr>
        <w:t>双目标，通过基础能力建设与市场拓展，提升数字产业竞争力。对内进一步完善智算、数据、物联运营体系，为智慧化升级应用提供坚实支撑；对外推广自主创新技术与智慧港口解决方案，打造港口数字产业输出标杆。</w:t>
      </w:r>
    </w:p>
    <w:p w14:paraId="781C8D38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outlineLvl w:val="2"/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" w:bidi="ar"/>
          <w:woUserID w:val="1"/>
        </w:rPr>
      </w:pP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-CN" w:bidi="ar"/>
        </w:rPr>
        <w:t>1.大力推进ICT基础能力</w:t>
      </w: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" w:bidi="ar"/>
          <w:woUserID w:val="1"/>
        </w:rPr>
        <w:t>拓展</w:t>
      </w:r>
    </w:p>
    <w:p w14:paraId="7561C2A3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（1）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持续健全数字化底座支持体系，规划建设东疆港区数据中心，强化智能算力集约化建设，为人工智能技术深化应用、数字化转型高质量发展夯实ICT底座。</w:t>
      </w:r>
    </w:p>
    <w:p w14:paraId="0FF33C56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（2）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完成工业互联网标识解析二级节点平台建设并上线运行，服务集团物联网融入国家工业互联网体系。推进天津港数字化物联管控平台、天津港工业互联网标识解析及应用服务平台建设实施，规范港口物联网数据技术标准，全面汇聚物联网数据，形成高质量物联网数据集，支撑人工智能应用，支撑构建数字孪生天津港。</w:t>
      </w:r>
    </w:p>
    <w:p w14:paraId="4BF72EC5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（3）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强化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数据运营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，推进数据治理与服务平台、数据资源门户常态化高效运行，构建集团对内对外数据共享开放统一出口。以“人机场车船货”数字孪生核心数据为抓手，加快数据汇聚，实施生产装卸、物流、经营管理等领域高质量数据集开发，支撑人工智能开发应用，加速释放数据价值。</w:t>
      </w:r>
    </w:p>
    <w:p w14:paraId="63032D2E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outlineLvl w:val="2"/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2.大力推进数字产业港外拓展</w:t>
      </w:r>
    </w:p>
    <w:p w14:paraId="342FD9BA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  <w:woUserID w:val="4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（1）智慧港口解决方案实现海外首单落地。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  <w:woUserID w:val="4"/>
        </w:rPr>
        <w:t>高质量完成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"/>
          <w:woUserID w:val="4"/>
        </w:rPr>
        <w:t>沙特NEOM港水平运输试点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  <w:woUserID w:val="4"/>
        </w:rPr>
        <w:t>示范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"/>
          <w:woUserID w:val="4"/>
        </w:rPr>
        <w:t>项目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  <w:woUserID w:val="4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ART、自动化充电桩设计、生产、发运和现场设备功能测试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等工作。</w:t>
      </w:r>
    </w:p>
    <w:p w14:paraId="5908F4EB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（2）推动PortGPT-CV港外部署，加强与华为公司合作，</w:t>
      </w:r>
      <w:r>
        <w:rPr>
          <w:rFonts w:hint="default" w:ascii="仿宋_GB2312" w:hAnsi="宋体" w:eastAsia="仿宋_GB2312" w:cs="仿宋_GB2312"/>
          <w:kern w:val="2"/>
          <w:sz w:val="32"/>
          <w:szCs w:val="32"/>
          <w:woUserID w:val="1"/>
        </w:rPr>
        <w:t>积极推进港口大模型PortGPT走向港外，与华为交通智慧化军团联手向</w:t>
      </w:r>
      <w:r>
        <w:rPr>
          <w:rFonts w:hint="eastAsia" w:ascii="仿宋_GB2312" w:hAnsi="宋体" w:eastAsia="仿宋_GB2312" w:cs="仿宋_GB2312"/>
          <w:kern w:val="2"/>
          <w:sz w:val="32"/>
          <w:szCs w:val="32"/>
          <w:lang w:eastAsia="zh"/>
          <w:woUserID w:val="1"/>
        </w:rPr>
        <w:t>摩洛哥港</w:t>
      </w:r>
      <w:r>
        <w:rPr>
          <w:rFonts w:hint="default" w:ascii="仿宋_GB2312" w:hAnsi="宋体" w:eastAsia="仿宋_GB2312" w:cs="仿宋_GB2312"/>
          <w:kern w:val="2"/>
          <w:sz w:val="32"/>
          <w:szCs w:val="32"/>
          <w:woUserID w:val="1"/>
        </w:rPr>
        <w:t>、阿布扎比港等</w:t>
      </w:r>
      <w:r>
        <w:rPr>
          <w:rFonts w:hint="eastAsia" w:ascii="仿宋_GB2312" w:hAnsi="宋体" w:eastAsia="仿宋_GB2312" w:cs="仿宋_GB2312"/>
          <w:kern w:val="2"/>
          <w:sz w:val="32"/>
          <w:szCs w:val="32"/>
          <w:lang w:eastAsia="zh"/>
          <w:woUserID w:val="1"/>
        </w:rPr>
        <w:t>国内外港口</w:t>
      </w:r>
      <w:r>
        <w:rPr>
          <w:rFonts w:hint="default" w:ascii="仿宋_GB2312" w:hAnsi="宋体" w:eastAsia="仿宋_GB2312" w:cs="仿宋_GB2312"/>
          <w:kern w:val="2"/>
          <w:sz w:val="32"/>
          <w:szCs w:val="32"/>
          <w:woUserID w:val="1"/>
        </w:rPr>
        <w:t>进行推介。</w:t>
      </w:r>
    </w:p>
    <w:p w14:paraId="2E9FCC98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（3）持续扩大ART港外占有率。加大市场开拓力度，积极抢抓国内市场，努力提升海外市场拓展能力，扩大智慧港口“天津港”品牌在海外影响力。</w:t>
      </w:r>
    </w:p>
    <w:p w14:paraId="165FAB9A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outlineLvl w:val="2"/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-CN" w:bidi="ar"/>
          <w:woUserID w:val="1"/>
        </w:rPr>
      </w:pP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" w:bidi="ar"/>
          <w:woUserID w:val="1"/>
        </w:rPr>
        <w:t>3</w:t>
      </w: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" w:bidi="ar"/>
        </w:rPr>
        <w:t>.</w:t>
      </w: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" w:bidi="ar"/>
          <w:woUserID w:val="1"/>
        </w:rPr>
        <w:t>大力</w:t>
      </w: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" w:bidi="ar"/>
        </w:rPr>
        <w:t>实施人工智能</w:t>
      </w: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" w:bidi="ar"/>
          <w:woUserID w:val="1"/>
        </w:rPr>
        <w:t>应用拓展</w:t>
      </w:r>
    </w:p>
    <w:p w14:paraId="2104B1B6"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6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6"/>
        </w:rPr>
        <w:t>全面落实推动人工智能在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"/>
          <w:woUserID w:val="1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6"/>
        </w:rPr>
        <w:t>AI端、输出端、应用端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"/>
          <w:woUserID w:val="1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6"/>
        </w:rPr>
        <w:t>打造更多成果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"/>
          <w:woUserID w:val="1"/>
        </w:rPr>
        <w:t>及“三全”“五有”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6"/>
        </w:rPr>
        <w:t>要求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"/>
          <w:woUserID w:val="1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1"/>
        </w:rPr>
        <w:t>紧密围绕“强基、增效、赋能”三大核心路径，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6"/>
        </w:rPr>
        <w:t>以算力与模型为“强基”切入点，以智能体平台与数字员工为“增效”抓手，以生产、安全、管理等全场景融合为“赋能”目标，推动人工智能从技术探索向规模化应用跨越，利用AI重塑生产关系与管理范式，深度服务国企改革与运营管理效能提升。</w:t>
      </w:r>
    </w:p>
    <w:p w14:paraId="25571701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6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  <w:woUserID w:val="6"/>
        </w:rPr>
        <w:t>（1）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"/>
          <w:woUserID w:val="1"/>
        </w:rPr>
        <w:t>坚持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6"/>
        </w:rPr>
        <w:t>顶层设计牵引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"/>
          <w:woUserID w:val="1"/>
        </w:rPr>
        <w:t>。做好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6"/>
        </w:rPr>
        <w:t>全域人工智能融合应用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"/>
          <w:woUserID w:val="1"/>
        </w:rPr>
        <w:t>谋划。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6"/>
        </w:rPr>
        <w:t>积极探索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1"/>
        </w:rPr>
        <w:t>各专业领域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6"/>
        </w:rPr>
        <w:t>人工智能融合应用，主动设计“AI+”应用场景，系统谋划通过引入大模型、智能体等技术实现流程再造与功能重塑，推动业务能力跃迁。</w:t>
      </w:r>
    </w:p>
    <w:p w14:paraId="2FC455D3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</w:pP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（2）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推动智算资源前瞻性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部署。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针对公文生成、知识问答等高并发场景，重点扩容NLP推理算力，构建兼容多种模型的算力环境，支持DeepSeek、华为盘古等多种NLP模型并行部署与择优应用，进一步提升推理效能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，逐步服务全体集团员工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。</w:t>
      </w:r>
    </w:p>
    <w:p w14:paraId="79A11363"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/>
        <w:snapToGrid/>
        <w:spacing w:line="560" w:lineRule="exact"/>
        <w:ind w:firstLine="640" w:firstLineChars="200"/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</w:pP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（3）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构建智算资源云管平台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。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实现算力集约高效管控，改变资源分散现状，形成全集团统一的算力资源池，实现智算资源的集中纳管与灵活分配，构建高性能智算集群，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实现数据不出域、算力高效能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，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为大规模模型推理提供坚实的底层支撑。</w:t>
      </w:r>
    </w:p>
    <w:p w14:paraId="42CF89FD"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/>
        <w:snapToGrid/>
        <w:spacing w:line="560" w:lineRule="exact"/>
        <w:ind w:firstLine="640" w:firstLineChars="200"/>
        <w:rPr>
          <w:rFonts w:hint="default" w:ascii="仿宋_GB2312" w:hAnsi="宋体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</w:pP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（4）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建设智能体底座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。</w:t>
      </w:r>
      <w:r>
        <w:rPr>
          <w:rFonts w:hint="default" w:ascii="仿宋_GB2312" w:hAnsi="宋体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部署智能体公共能力平台，支撑全生命周期管控，构建集开发、编排、纳管、运营于一体的企业级智能体平台，提供低代码</w:t>
      </w:r>
      <w:r>
        <w:rPr>
          <w:rFonts w:hint="eastAsia" w:ascii="仿宋_GB2312" w:hAnsi="宋体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、</w:t>
      </w:r>
      <w:r>
        <w:rPr>
          <w:rFonts w:hint="default" w:ascii="仿宋_GB2312" w:hAnsi="宋体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零代码可视化开发环境与工作流编排引擎，并支持单智能体构建与多智能体（Multi-Agent）协同，实现从需求分析、应用构建到部署运维的统一管控，降低开发门槛，提升交付效率。</w:t>
      </w:r>
    </w:p>
    <w:p w14:paraId="74371474">
      <w:pPr>
        <w:pStyle w:val="6"/>
        <w:keepNext w:val="0"/>
        <w:keepLines w:val="0"/>
        <w:widowControl w:val="0"/>
        <w:suppressLineNumbers w:val="0"/>
        <w:autoSpaceDE w:val="0"/>
        <w:autoSpaceDN/>
        <w:snapToGrid w:val="0"/>
        <w:spacing w:before="0" w:beforeAutospacing="0" w:after="0" w:afterAutospacing="0"/>
        <w:ind w:left="0" w:right="0" w:firstLineChars="200"/>
        <w:jc w:val="both"/>
        <w:rPr>
          <w:rFonts w:hint="default" w:ascii="仿宋_GB2312" w:hAnsi="宋体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</w:pP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（5）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打造智能体</w:t>
      </w:r>
      <w:r>
        <w:rPr>
          <w:rFonts w:hint="eastAsia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及具身机器人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应用。以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重塑交互体验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为目标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，打造AI原生（AI-Native）的统一门户，构建全集团统一的数字员工移动端入口，聚焦高频场景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，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构建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“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开箱即用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”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的通用技能库，依托智能体平台统一封装通用AI组件实现共享复用，集中攻关智能问答（QA）、公文生成、流程自动化、数据分析四大核心场景，推动政策制度检索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、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数据指标分析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、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公文辅助生成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、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流程自动流转等通用能力的规模应用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，并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通过意图识别主动推荐算法，打造触手可及的移动端决策辅助工具。</w:t>
      </w:r>
      <w:r>
        <w:rPr>
          <w:rFonts w:hint="eastAsia"/>
          <w:b w:val="0"/>
          <w:i w:val="0"/>
          <w:strike w:val="0"/>
          <w:color w:val="auto"/>
          <w:u w:val="none"/>
        </w:rPr>
        <w:t>具身智能机器人</w:t>
      </w:r>
      <w:r>
        <w:rPr>
          <w:rFonts w:hint="eastAsia"/>
          <w:b w:val="0"/>
          <w:i w:val="0"/>
          <w:strike w:val="0"/>
          <w:color w:val="auto"/>
          <w:u w:val="none"/>
          <w:lang w:val="en-US" w:eastAsia="zh-CN"/>
        </w:rPr>
        <w:t>方面，</w:t>
      </w:r>
      <w:r>
        <w:rPr>
          <w:rFonts w:hint="eastAsia"/>
          <w:b w:val="0"/>
          <w:i w:val="0"/>
          <w:strike w:val="0"/>
          <w:color w:val="auto"/>
          <w:u w:val="none"/>
        </w:rPr>
        <w:t>完成巡检、安防等场景机器人的选型与定制化开发，形成</w:t>
      </w:r>
      <w:r>
        <w:rPr>
          <w:rFonts w:hint="eastAsia"/>
          <w:b w:val="0"/>
          <w:i w:val="0"/>
          <w:strike w:val="0"/>
          <w:color w:val="auto"/>
          <w:u w:val="none"/>
          <w:lang w:val="en-US" w:eastAsia="zh-CN"/>
        </w:rPr>
        <w:t>产品能力。启动智能轮式机器人及水下机器人应用场景</w:t>
      </w:r>
      <w:r>
        <w:rPr>
          <w:rFonts w:hint="eastAsia"/>
          <w:b w:val="0"/>
          <w:i w:val="0"/>
          <w:strike w:val="0"/>
          <w:color w:val="auto"/>
          <w:u w:val="none"/>
        </w:rPr>
        <w:t>试点，首批机器人</w:t>
      </w:r>
      <w:r>
        <w:rPr>
          <w:rFonts w:hint="eastAsia"/>
          <w:b w:val="0"/>
          <w:i w:val="0"/>
          <w:strike w:val="0"/>
          <w:color w:val="auto"/>
          <w:u w:val="none"/>
          <w:lang w:val="en-US" w:eastAsia="zh-CN"/>
        </w:rPr>
        <w:t>具备</w:t>
      </w:r>
      <w:r>
        <w:rPr>
          <w:rFonts w:hint="eastAsia"/>
          <w:b w:val="0"/>
          <w:i w:val="0"/>
          <w:strike w:val="0"/>
          <w:color w:val="auto"/>
          <w:u w:val="none"/>
        </w:rPr>
        <w:t>覆盖智能巡检、</w:t>
      </w:r>
      <w:r>
        <w:rPr>
          <w:rFonts w:hint="eastAsia"/>
          <w:b w:val="0"/>
          <w:i w:val="0"/>
          <w:strike w:val="0"/>
          <w:color w:val="auto"/>
          <w:u w:val="none"/>
          <w:lang w:val="en-US" w:eastAsia="zh-CN"/>
        </w:rPr>
        <w:t>水下作业</w:t>
      </w:r>
      <w:r>
        <w:rPr>
          <w:rFonts w:hint="eastAsia"/>
          <w:b w:val="0"/>
          <w:i w:val="0"/>
          <w:strike w:val="0"/>
          <w:color w:val="auto"/>
          <w:u w:val="none"/>
        </w:rPr>
        <w:t>等</w:t>
      </w:r>
      <w:r>
        <w:rPr>
          <w:rFonts w:hint="eastAsia"/>
          <w:b w:val="0"/>
          <w:i w:val="0"/>
          <w:strike w:val="0"/>
          <w:color w:val="auto"/>
          <w:u w:val="none"/>
          <w:lang w:val="en-US" w:eastAsia="zh-CN"/>
        </w:rPr>
        <w:t>应用能力</w:t>
      </w:r>
      <w:r>
        <w:rPr>
          <w:rFonts w:hint="eastAsia"/>
          <w:b w:val="0"/>
          <w:i w:val="0"/>
          <w:strike w:val="0"/>
          <w:color w:val="auto"/>
          <w:u w:val="none"/>
          <w:lang w:eastAsia="zh-CN"/>
        </w:rPr>
        <w:t>。</w:t>
      </w:r>
    </w:p>
    <w:p w14:paraId="6EB94497">
      <w:pPr>
        <w:keepNext/>
        <w:keepLines w:val="0"/>
        <w:widowControl w:val="0"/>
        <w:suppressLineNumbers w:val="0"/>
        <w:autoSpaceDE w:val="0"/>
        <w:autoSpaceDN/>
        <w:snapToGrid w:val="0"/>
        <w:spacing w:before="0" w:beforeAutospacing="0" w:after="0" w:afterAutospacing="0" w:line="560" w:lineRule="exact"/>
        <w:ind w:left="0" w:right="0"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"/>
          <w:woUserID w:val="6"/>
        </w:rPr>
      </w:pP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（6）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构建知识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库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管理体系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。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构建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高质量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的知识库管理体系，打造安全高效的知识中台。依托RAG技术，统筹构建覆盖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“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集团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、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领域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、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个人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”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三级知识库体系，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以构建科工领域规划、设备、工程、智慧港口等专项知识库为标杆，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基于多租户架构实现不同身份、不同层级的知识隔离与共享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。同时，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积极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推动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各领域沉淀制度规范、业务案例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、行业经验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等知识，推动知识资产的共建共享与安全复用。</w:t>
      </w:r>
    </w:p>
    <w:p w14:paraId="7B59FE44">
      <w:pPr>
        <w:keepNext/>
        <w:keepLines w:val="0"/>
        <w:widowControl w:val="0"/>
        <w:suppressLineNumbers w:val="0"/>
        <w:autoSpaceDE w:val="0"/>
        <w:autoSpaceDN/>
        <w:snapToGrid w:val="0"/>
        <w:spacing w:before="0" w:beforeAutospacing="0" w:after="0" w:afterAutospacing="0" w:line="560" w:lineRule="exact"/>
        <w:ind w:left="0" w:right="0" w:firstLine="640" w:firstLineChars="200"/>
        <w:jc w:val="both"/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</w:pP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（7）持续推进港口大模型PortGPT迭代升级。持续完善样本库建设，进一步扩充PortGPT港口行业大模型专业样本库，丰富“人机场车船货”数据集，建立样本常态化采集与标注机制。深化复杂场景应用落地，聚焦动火、舱内、受限空间等高危复杂作业场景，进一步提升复杂违章行为的智能判定与精准告警能力。同时，进一步加大推广力度，力争6月底前实现集团所属集装箱码头部署应用。</w:t>
      </w:r>
    </w:p>
    <w:p w14:paraId="2B1C7BC5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640" w:leftChars="0" w:firstLine="0" w:firstLineChars="0"/>
        <w:outlineLvl w:val="1"/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-CN" w:bidi="ar"/>
        </w:rPr>
        <w:t>（四）筑牢数字</w:t>
      </w: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" w:bidi="ar"/>
          <w:woUserID w:val="1"/>
        </w:rPr>
        <w:t>管理</w:t>
      </w: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-CN" w:bidi="ar"/>
        </w:rPr>
        <w:t>立体防线</w:t>
      </w:r>
    </w:p>
    <w:p w14:paraId="5F05395C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560" w:lineRule="exact"/>
        <w:ind w:left="0" w:leftChars="0" w:right="0" w:firstLine="640" w:firstLineChars="200"/>
        <w:jc w:val="both"/>
        <w:rPr>
          <w:rFonts w:hint="default" w:ascii="仿宋_GB2312" w:hAnsi="Calibri" w:eastAsia="仿宋_GB2312" w:cs="仿宋_GB2312"/>
          <w:kern w:val="2"/>
          <w:sz w:val="32"/>
          <w:szCs w:val="32"/>
          <w:highlight w:val="none"/>
          <w:lang w:val="en-US" w:eastAsia="zh-CN" w:bidi="ar"/>
          <w:woUserID w:val="1"/>
        </w:rPr>
      </w:pPr>
      <w:r>
        <w:rPr>
          <w:rFonts w:hint="default" w:ascii="仿宋_GB2312" w:hAnsi="Calibri" w:eastAsia="仿宋_GB2312" w:cs="仿宋_GB2312"/>
          <w:kern w:val="2"/>
          <w:sz w:val="32"/>
          <w:szCs w:val="32"/>
          <w:highlight w:val="none"/>
          <w:lang w:val="en-US" w:eastAsia="zh-CN" w:bidi="ar"/>
          <w:woUserID w:val="1"/>
        </w:rPr>
        <w:t>以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highlight w:val="none"/>
          <w:lang w:val="en-US" w:eastAsia="zh" w:bidi="ar"/>
          <w:woUserID w:val="1"/>
        </w:rPr>
        <w:t>“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highlight w:val="none"/>
          <w:lang w:val="en-US" w:eastAsia="zh-CN" w:bidi="ar"/>
          <w:woUserID w:val="1"/>
        </w:rPr>
        <w:t>安全可控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highlight w:val="none"/>
          <w:lang w:val="en-US" w:eastAsia="zh" w:bidi="ar"/>
          <w:woUserID w:val="1"/>
        </w:rPr>
        <w:t>”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highlight w:val="none"/>
          <w:lang w:val="en-US" w:eastAsia="zh-CN" w:bidi="ar"/>
          <w:woUserID w:val="1"/>
        </w:rPr>
        <w:t>为核心，构建覆盖网络、数据、模型、应用全维度的数字安全防护体系，为智慧港口升级版建设提供坚实安全保障。聚焦数字安全风险防控，从管理体系、技术防护、应急处置多层面发力，完善安全管理制度、部署先进防护技术、强化实战演练，全面提升网络安全、数据安全保障能力，确保港口核心数据不泄露、系统不瘫痪、业务不间断。</w:t>
      </w:r>
    </w:p>
    <w:p w14:paraId="6E42AE02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640" w:leftChars="0" w:firstLine="0" w:firstLineChars="0"/>
        <w:outlineLvl w:val="2"/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" w:bidi="ar"/>
          <w:woUserID w:val="1"/>
        </w:rPr>
      </w:pP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" w:bidi="ar"/>
        </w:rPr>
        <w:t>1.筑牢数字安全</w:t>
      </w: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" w:bidi="ar"/>
          <w:woUserID w:val="1"/>
        </w:rPr>
        <w:t>防范屏障</w:t>
      </w:r>
    </w:p>
    <w:p w14:paraId="681A6AED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（1）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持续完善纵深网络安全防御体系，秉承“人工智能+网络安全”思维，实现风险实时感知、攻击实时拦截、威胁实时处置。积极参加国家、天津市、交通行业实战演练，提升团队应对复杂网络攻击的能力。</w:t>
      </w:r>
    </w:p>
    <w:p w14:paraId="18A1E055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（2）完善数安全管理体系建设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，明确数据分类分级标准规范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，实施</w:t>
      </w:r>
      <w:r>
        <w:rPr>
          <w:rFonts w:hint="default" w:ascii="仿宋_GB2312" w:hAnsi="宋体" w:eastAsia="仿宋_GB2312" w:cs="仿宋_GB2312"/>
          <w:kern w:val="2"/>
          <w:sz w:val="32"/>
          <w:szCs w:val="32"/>
          <w:woUserID w:val="4"/>
        </w:rPr>
        <w:t>数据</w:t>
      </w:r>
      <w:r>
        <w:rPr>
          <w:rFonts w:hint="eastAsia" w:ascii="仿宋_GB2312" w:hAnsi="宋体" w:eastAsia="仿宋_GB2312" w:cs="仿宋_GB2312"/>
          <w:kern w:val="2"/>
          <w:sz w:val="32"/>
          <w:szCs w:val="32"/>
          <w:lang w:eastAsia="zh"/>
          <w:woUserID w:val="4"/>
        </w:rPr>
        <w:t>分类分级安全落标与</w:t>
      </w:r>
      <w:r>
        <w:rPr>
          <w:rFonts w:hint="default" w:ascii="仿宋_GB2312" w:hAnsi="宋体" w:eastAsia="仿宋_GB2312" w:cs="仿宋_GB2312"/>
          <w:kern w:val="2"/>
          <w:sz w:val="32"/>
          <w:szCs w:val="32"/>
          <w:woUserID w:val="4"/>
        </w:rPr>
        <w:t>资源统筹管理，促进集团数据资源开发利用，更好释放数据价值，服务集团生产经营管理决策。</w:t>
      </w:r>
    </w:p>
    <w:p w14:paraId="01F92898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640" w:leftChars="0" w:firstLine="0" w:firstLineChars="0"/>
        <w:outlineLvl w:val="2"/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" w:bidi="ar"/>
          <w:woUserID w:val="1"/>
        </w:rPr>
      </w:pP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" w:bidi="ar"/>
          <w:woUserID w:val="1"/>
        </w:rPr>
        <w:t>2.筑牢</w:t>
      </w: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-CN" w:bidi="ar"/>
        </w:rPr>
        <w:t>自主可控核心技术</w:t>
      </w:r>
      <w:r>
        <w:rPr>
          <w:rFonts w:hint="eastAsia" w:ascii="楷体_GB2312" w:hAnsi="楷体_GB2312" w:eastAsia="楷体_GB2312" w:cs="楷体_GB2312"/>
          <w:b w:val="0"/>
          <w:bCs/>
          <w:spacing w:val="0"/>
          <w:sz w:val="32"/>
          <w:szCs w:val="32"/>
          <w:highlight w:val="none"/>
          <w:lang w:val="en-US" w:eastAsia="zh" w:bidi="ar"/>
          <w:woUserID w:val="1"/>
        </w:rPr>
        <w:t>能力</w:t>
      </w:r>
    </w:p>
    <w:p w14:paraId="7DACC454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（1）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推动实施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信创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工作。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制定集团公司信创技术应用年度工作方案，推进全新网信基础设施采购全信创、全新信息系统研发全信创，全面完成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  <w:woUserID w:val="4"/>
        </w:rPr>
        <w:t>门户网站、智慧办公（OA）、电子邮件、档案、党群等综合办公系统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信创改造。</w:t>
      </w:r>
    </w:p>
    <w:p w14:paraId="610210DD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（2）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推进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自主可控操作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系统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适配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。开展关键技术攻坚，推进FMS、JTOS等集团核心生产系统全栈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自主可控操作系统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适配，打造二集司全栈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自主可控操作系统适配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典型示范，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增强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集团自主可控技术能力，筑牢服务港口生产业务连续性技术安全保障，形成港口自主可控行业标杆。</w:t>
      </w:r>
    </w:p>
    <w:p w14:paraId="60AF9FD9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640" w:leftChars="0" w:firstLine="0" w:firstLineChars="0"/>
        <w:outlineLvl w:val="2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"/>
          <w:woUserID w:val="1"/>
        </w:rPr>
        <w:t>3.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筑牢数字化管理体系基础</w:t>
      </w:r>
    </w:p>
    <w:p w14:paraId="55DF583E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"/>
          <w:woUserID w:val="4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4"/>
        </w:rPr>
        <w:t>以制度建设、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"/>
          <w:woUserID w:val="1"/>
        </w:rPr>
        <w:t>流程优化、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4"/>
        </w:rPr>
        <w:t>机构保障、人才培养为核心，构建科学规范的数字化管理体系，为智慧港口升级版建设提供组织支撑与人才保障，确保各项任务有序推进。聚焦数字化管理体系的根基建设，通过做实管理机构、强化系统管控、培育专业人才，破解数字化转型过程中的组织协调与人才短缺难题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"/>
          <w:woUserID w:val="1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4"/>
        </w:rPr>
        <w:t>建立权责清晰、运转高效的管理机制，打造高素质数字化人才队伍，为智慧港口建设提供长效保障。</w:t>
      </w:r>
    </w:p>
    <w:p w14:paraId="499BF67B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（1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）推进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大数据管理中心高质量发展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进一步强化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大数据管理中心职能定位，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加快完成“三定”工作，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统筹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做好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数据资源规划、治理、共享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，推动数据资源集约化管理与高效利用，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发挥技术和数据统筹作用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，有力支撑集团数字化转型、智能化升级。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 xml:space="preserve"> </w:t>
      </w:r>
    </w:p>
    <w:p w14:paraId="6950CC0B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（2）强化数字化系统统筹管控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。完善信息化系统全生命周期管理机制和绩效评估机制，切实强化项目评审工作，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" w:bidi="ar-SA"/>
          <w:woUserID w:val="1"/>
        </w:rPr>
        <w:t>对系统的规划、建设、上线、运维等环节进行全生命周期管控，进一步规范系统数字架构体系与建设标准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，避免重复建设，同时提升系统兼容性与协同性。</w:t>
      </w:r>
    </w:p>
    <w:p w14:paraId="38CE0C37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（3）</w:t>
      </w:r>
      <w:r>
        <w:rPr>
          <w:rFonts w:hint="eastAsia" w:ascii="仿宋_GB2312" w:eastAsia="仿宋_GB2312"/>
          <w:bCs/>
          <w:sz w:val="32"/>
          <w:szCs w:val="32"/>
          <w:lang w:val="en-US" w:eastAsia="zh-CN"/>
          <w:woUserID w:val="1"/>
        </w:rPr>
        <w:t>强化数字化人才队伍建设</w:t>
      </w:r>
      <w:r>
        <w:rPr>
          <w:rFonts w:hint="eastAsia" w:ascii="仿宋_GB2312" w:eastAsia="仿宋_GB2312"/>
          <w:bCs/>
          <w:sz w:val="32"/>
          <w:szCs w:val="32"/>
          <w:lang w:val="en-US" w:eastAsia="zh"/>
          <w:woUserID w:val="1"/>
        </w:rPr>
        <w:t>。</w:t>
      </w:r>
      <w:r>
        <w:rPr>
          <w:rFonts w:hint="eastAsia" w:ascii="仿宋_GB2312" w:eastAsia="仿宋_GB2312"/>
          <w:bCs/>
          <w:sz w:val="32"/>
          <w:szCs w:val="32"/>
          <w:lang w:val="en-US" w:eastAsia="zh-CN"/>
          <w:woUserID w:val="1"/>
        </w:rPr>
        <w:t>夯实人才基础，不断激发数字化转型的动力和活力，提高智慧港口建设能力,持续开展创新研究。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加大数字人才培养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开展多层面数字化培训，开展人工智能、大数据、数字架构、网络安全等领域专项培训，积极构建先进的人才发展体系。</w:t>
      </w:r>
      <w:bookmarkEnd w:id="0"/>
    </w:p>
    <w:p w14:paraId="61F5FB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outlineLvl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 w:bidi="ar"/>
        </w:rPr>
        <w:t>五、</w:t>
      </w:r>
      <w:r>
        <w:rPr>
          <w:rFonts w:hint="eastAsia" w:ascii="黑体" w:hAnsi="黑体" w:eastAsia="黑体" w:cs="黑体"/>
          <w:sz w:val="32"/>
          <w:szCs w:val="32"/>
          <w:lang w:bidi="ar"/>
        </w:rPr>
        <w:t>保障措施</w:t>
      </w:r>
    </w:p>
    <w:p w14:paraId="5DF8B6E5">
      <w:pPr>
        <w:ind w:firstLine="640" w:firstLineChars="200"/>
        <w:outlineLvl w:val="1"/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" w:bidi="ar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-CN" w:bidi="ar"/>
        </w:rPr>
        <w:t>（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val="en-US" w:eastAsia="zh-CN" w:bidi="ar"/>
        </w:rPr>
        <w:t>一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-CN" w:bidi="ar"/>
        </w:rPr>
        <w:t>）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" w:bidi="ar"/>
        </w:rPr>
        <w:t>加强组织领导，凝聚协同合力</w:t>
      </w:r>
    </w:p>
    <w:p w14:paraId="7E6CDEE3">
      <w:pPr>
        <w:keepNext/>
        <w:keepLines w:val="0"/>
        <w:widowControl w:val="0"/>
        <w:suppressLineNumbers w:val="0"/>
        <w:autoSpaceDE w:val="0"/>
        <w:autoSpaceDN/>
        <w:snapToGrid w:val="0"/>
        <w:spacing w:before="0" w:beforeAutospacing="0" w:after="0" w:afterAutospacing="0" w:line="560" w:lineRule="exact"/>
        <w:ind w:left="0" w:right="0"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强化党建引领作用，将智慧港口建设成果纳入考核重点，充分发挥党员先锋模范作用，凝聚全员参与的强大合力。推动重点项目适时建立跨部门、跨单位协同工作机制，明确各责任主体职责分工，定期召开工作推进会、调度会，及时解决建设过程中的难点问题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创新组织建设，积极谋划AI中心建设路径与实施框架，完成AI中心建设设置。</w:t>
      </w:r>
    </w:p>
    <w:p w14:paraId="56E65BE1">
      <w:pPr>
        <w:ind w:firstLine="640" w:firstLineChars="200"/>
        <w:jc w:val="both"/>
        <w:outlineLvl w:val="1"/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" w:bidi="ar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-CN" w:bidi="ar"/>
        </w:rPr>
        <w:t>（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val="en-US" w:eastAsia="zh-CN" w:bidi="ar"/>
        </w:rPr>
        <w:t>二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-CN" w:bidi="ar"/>
        </w:rPr>
        <w:t>）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val="en-US" w:eastAsia="zh-CN" w:bidi="ar"/>
        </w:rPr>
        <w:t>强化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" w:bidi="ar"/>
        </w:rPr>
        <w:t>统筹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val="en-US" w:eastAsia="zh-CN" w:bidi="ar"/>
        </w:rPr>
        <w:t>管控，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" w:bidi="ar"/>
        </w:rPr>
        <w:t>明确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val="en-US" w:eastAsia="zh-CN" w:bidi="ar"/>
        </w:rPr>
        <w:t>任务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" w:bidi="ar"/>
        </w:rPr>
        <w:t>目标</w:t>
      </w:r>
    </w:p>
    <w:p w14:paraId="151AA84B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对照评价指标与主要任务，制定详细的年度工作台账，将目标任务分解到具体责任单位、责任人与时间节点。建立“月调度、季评估、年考核”的统筹管控机制，加强对项目建设进度、质量与成效的跟踪管理。强化资源保障，统筹调配资金、技术、人力等资源，优先保障重点项目建设需求，确保各项任务有序推进、落地见效。</w:t>
      </w:r>
    </w:p>
    <w:p w14:paraId="54D0AAE4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outlineLvl w:val="1"/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" w:bidi="ar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" w:bidi="ar"/>
        </w:rPr>
        <w:t>加大考核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val="en-US" w:eastAsia="zh-CN" w:bidi="ar"/>
        </w:rPr>
        <w:t>激励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" w:bidi="ar"/>
        </w:rPr>
        <w:t>，完善配套措施</w:t>
      </w:r>
    </w:p>
    <w:p w14:paraId="3F74F99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" w:bidi="ar"/>
          <w:woUserID w:val="1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" w:bidi="ar"/>
          <w:woUserID w:val="1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 xml:space="preserve">  将智慧港口升级版建设工作纳入各单位绩效考核体系，研究设置专项考核指标，细化考核标准，强化考核结果。完善奖励激励机制，对在技术创新、场景应用、产业拓展等方面取得突出成效的单位与个人给予表彰奖励。加强项目筹划，加大资金投入，做好资金保障，积极鼓励基层单位参与智慧港口统筹统建项目建设。</w:t>
      </w:r>
    </w:p>
    <w:p w14:paraId="00C6C6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outlineLvl w:val="1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-CN" w:bidi="ar"/>
        </w:rPr>
        <w:t>（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val="en-US" w:eastAsia="zh-CN" w:bidi="ar"/>
        </w:rPr>
        <w:t>四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-CN" w:bidi="ar"/>
        </w:rPr>
        <w:t>）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val="en-US" w:eastAsia="zh-CN" w:bidi="ar"/>
        </w:rPr>
        <w:t>推进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" w:bidi="ar"/>
        </w:rPr>
        <w:t>过程管理，确保成效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val="en-US" w:eastAsia="zh-CN" w:bidi="ar"/>
        </w:rPr>
        <w:t>落地</w:t>
      </w:r>
    </w:p>
    <w:p w14:paraId="2D86F5C6">
      <w:pPr>
        <w:ind w:firstLine="640"/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协同信息化项目管理等制度流程，进一步优化智慧港口项目全流程管理体系，加强重点项目的立项、可行性研究、建设实施、竣工验收等各环节管控，严格执行项目招投标、合同管理等制度流程。强化风险防控，定期开展项目风险评估，制定应对预案，防范技术、资金、安全等各类风险。加强宣传推广，总结智慧港口建设典型案例与成功经验，对内营造创新发展氛围，对外展现天津港智慧化建设成果，提升品牌影响力。</w:t>
      </w:r>
    </w:p>
    <w:p w14:paraId="2334433B">
      <w:pPr>
        <w:ind w:firstLine="640"/>
        <w:rPr>
          <w:rFonts w:hint="default" w:ascii="仿宋_GB2312" w:hAnsi="仿宋_GB2312" w:eastAsia="仿宋_GB2312" w:cs="仿宋_GB2312"/>
          <w:sz w:val="32"/>
          <w:szCs w:val="32"/>
          <w:lang w:val="en-US" w:eastAsia="zh-CN"/>
          <w:woUserID w:val="1"/>
        </w:rPr>
      </w:pPr>
    </w:p>
    <w:sectPr>
      <w:footerReference r:id="rId3" w:type="default"/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0C50E26-4261-4E5B-989A-98551DA0916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A15C3BBE-2D3C-456B-AE40-89FF5D0166E6}"/>
  </w:font>
  <w:font w:name="方正仿宋_GB18030">
    <w:altName w:val="仿宋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6AC93EEC-2F3B-4C1E-9A10-029443EE2695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CBBF55C5-325A-4EFF-904C-3D31FEE2A942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C4E4E043-D2FB-42BF-B529-EAF98216D17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6" w:fontKey="{055F73E5-C3DE-4A9D-9797-07C1C0C909D8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7" w:fontKey="{CADA5E18-A062-40E4-A5A6-5B5040094605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1473A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077E3F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077E3F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7EB388"/>
    <w:multiLevelType w:val="singleLevel"/>
    <w:tmpl w:val="DD7EB388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FFFA8326"/>
    <w:multiLevelType w:val="singleLevel"/>
    <w:tmpl w:val="FFFA8326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61783"/>
    <w:rsid w:val="04A03B34"/>
    <w:rsid w:val="050D65F7"/>
    <w:rsid w:val="05CB6341"/>
    <w:rsid w:val="05D84E57"/>
    <w:rsid w:val="06C63387"/>
    <w:rsid w:val="08D4742C"/>
    <w:rsid w:val="09540539"/>
    <w:rsid w:val="0C371A94"/>
    <w:rsid w:val="0DBF06AB"/>
    <w:rsid w:val="0EC87A33"/>
    <w:rsid w:val="111B209C"/>
    <w:rsid w:val="12E14A8F"/>
    <w:rsid w:val="13E34D55"/>
    <w:rsid w:val="15A026A2"/>
    <w:rsid w:val="16817B75"/>
    <w:rsid w:val="17574817"/>
    <w:rsid w:val="18120BBE"/>
    <w:rsid w:val="1ACA0E27"/>
    <w:rsid w:val="1CDF303E"/>
    <w:rsid w:val="1E2C70B8"/>
    <w:rsid w:val="1E3B5B2B"/>
    <w:rsid w:val="1E763007"/>
    <w:rsid w:val="1F0979D8"/>
    <w:rsid w:val="1F5D6E35"/>
    <w:rsid w:val="1F7E03C6"/>
    <w:rsid w:val="1FE76924"/>
    <w:rsid w:val="1FFDE6B6"/>
    <w:rsid w:val="20065D2D"/>
    <w:rsid w:val="202D3B9A"/>
    <w:rsid w:val="2666570F"/>
    <w:rsid w:val="26EA4712"/>
    <w:rsid w:val="26FD215D"/>
    <w:rsid w:val="29634188"/>
    <w:rsid w:val="2A550017"/>
    <w:rsid w:val="2B8A0483"/>
    <w:rsid w:val="2BCF3519"/>
    <w:rsid w:val="2C42277B"/>
    <w:rsid w:val="2D917516"/>
    <w:rsid w:val="2E1F4134"/>
    <w:rsid w:val="2E7A61FC"/>
    <w:rsid w:val="2EE3EA3E"/>
    <w:rsid w:val="2EF804A8"/>
    <w:rsid w:val="2F1877C3"/>
    <w:rsid w:val="316B62D0"/>
    <w:rsid w:val="32803FFD"/>
    <w:rsid w:val="33B7A7D9"/>
    <w:rsid w:val="33EA7980"/>
    <w:rsid w:val="35812566"/>
    <w:rsid w:val="36F7FF04"/>
    <w:rsid w:val="37EFC719"/>
    <w:rsid w:val="38327934"/>
    <w:rsid w:val="39E34C87"/>
    <w:rsid w:val="3B143534"/>
    <w:rsid w:val="3B611305"/>
    <w:rsid w:val="3B646531"/>
    <w:rsid w:val="3BED8569"/>
    <w:rsid w:val="3BF95DE8"/>
    <w:rsid w:val="3DFDE683"/>
    <w:rsid w:val="3E4E7883"/>
    <w:rsid w:val="3E6D3A32"/>
    <w:rsid w:val="3FAC01DF"/>
    <w:rsid w:val="3FD6BE4F"/>
    <w:rsid w:val="3FDF8739"/>
    <w:rsid w:val="43FF6724"/>
    <w:rsid w:val="442347E8"/>
    <w:rsid w:val="446243FE"/>
    <w:rsid w:val="45552ABE"/>
    <w:rsid w:val="45DE3219"/>
    <w:rsid w:val="46BA1434"/>
    <w:rsid w:val="476BF0C8"/>
    <w:rsid w:val="493C0826"/>
    <w:rsid w:val="4A595408"/>
    <w:rsid w:val="4B335BCD"/>
    <w:rsid w:val="4BFFBBA6"/>
    <w:rsid w:val="4CF50AEF"/>
    <w:rsid w:val="4DA846DC"/>
    <w:rsid w:val="4DD76D6F"/>
    <w:rsid w:val="4FE15C83"/>
    <w:rsid w:val="507408A5"/>
    <w:rsid w:val="53F3BA00"/>
    <w:rsid w:val="546E6190"/>
    <w:rsid w:val="54AF40EF"/>
    <w:rsid w:val="5630526E"/>
    <w:rsid w:val="57A777B2"/>
    <w:rsid w:val="58B760D5"/>
    <w:rsid w:val="58FF717A"/>
    <w:rsid w:val="5BFFC7B0"/>
    <w:rsid w:val="5CCA4E74"/>
    <w:rsid w:val="5CF52519"/>
    <w:rsid w:val="5DEB750A"/>
    <w:rsid w:val="5EFD7FEF"/>
    <w:rsid w:val="5FDE1906"/>
    <w:rsid w:val="5FF7D608"/>
    <w:rsid w:val="60F670B5"/>
    <w:rsid w:val="64711BB5"/>
    <w:rsid w:val="672652A4"/>
    <w:rsid w:val="672E1BB9"/>
    <w:rsid w:val="67799EDA"/>
    <w:rsid w:val="6ADEDBAA"/>
    <w:rsid w:val="6B1A42B9"/>
    <w:rsid w:val="6C823EF2"/>
    <w:rsid w:val="6CF7043C"/>
    <w:rsid w:val="6D1E1E6D"/>
    <w:rsid w:val="6E7399E8"/>
    <w:rsid w:val="6F103A37"/>
    <w:rsid w:val="6F6EAC1C"/>
    <w:rsid w:val="6F72024E"/>
    <w:rsid w:val="6F7F82B1"/>
    <w:rsid w:val="6FDF1924"/>
    <w:rsid w:val="6FED6E3C"/>
    <w:rsid w:val="716B29A1"/>
    <w:rsid w:val="71D258FF"/>
    <w:rsid w:val="71FEE009"/>
    <w:rsid w:val="729A3D44"/>
    <w:rsid w:val="739E5AB6"/>
    <w:rsid w:val="73BFE376"/>
    <w:rsid w:val="75EF408D"/>
    <w:rsid w:val="767F7ABF"/>
    <w:rsid w:val="76D35A76"/>
    <w:rsid w:val="77D870BC"/>
    <w:rsid w:val="77EBB633"/>
    <w:rsid w:val="78061E7B"/>
    <w:rsid w:val="78FF7402"/>
    <w:rsid w:val="79F1A9F1"/>
    <w:rsid w:val="7B2F16E9"/>
    <w:rsid w:val="7BE32883"/>
    <w:rsid w:val="7BEA2F98"/>
    <w:rsid w:val="7C7D0EB8"/>
    <w:rsid w:val="7CDDDD98"/>
    <w:rsid w:val="7CE5AADC"/>
    <w:rsid w:val="7D7F4941"/>
    <w:rsid w:val="7DBF4522"/>
    <w:rsid w:val="7DFE62A3"/>
    <w:rsid w:val="7EA57882"/>
    <w:rsid w:val="7EBBE8F9"/>
    <w:rsid w:val="7EED742A"/>
    <w:rsid w:val="7F4A9B55"/>
    <w:rsid w:val="7F7556ED"/>
    <w:rsid w:val="7F7D17E6"/>
    <w:rsid w:val="7FA33E32"/>
    <w:rsid w:val="7FB567B1"/>
    <w:rsid w:val="7FBC413D"/>
    <w:rsid w:val="7FDBC2AF"/>
    <w:rsid w:val="7FDDB7F5"/>
    <w:rsid w:val="7FDFE9B0"/>
    <w:rsid w:val="7FED1A9B"/>
    <w:rsid w:val="7FEF4C0B"/>
    <w:rsid w:val="7FF7EB59"/>
    <w:rsid w:val="7FFB1D97"/>
    <w:rsid w:val="7FFD59FF"/>
    <w:rsid w:val="87CF6EF5"/>
    <w:rsid w:val="9DFDD886"/>
    <w:rsid w:val="9FAF8B38"/>
    <w:rsid w:val="9FD7B453"/>
    <w:rsid w:val="9FF74D05"/>
    <w:rsid w:val="ABFF7F52"/>
    <w:rsid w:val="B5FF8527"/>
    <w:rsid w:val="B7AFD66A"/>
    <w:rsid w:val="B7F7805A"/>
    <w:rsid w:val="B8BB703E"/>
    <w:rsid w:val="B973FF2F"/>
    <w:rsid w:val="BD3956FB"/>
    <w:rsid w:val="BD777C73"/>
    <w:rsid w:val="BDF3BE83"/>
    <w:rsid w:val="BFDA35B4"/>
    <w:rsid w:val="BFDED55A"/>
    <w:rsid w:val="BFFF4152"/>
    <w:rsid w:val="BFFF9181"/>
    <w:rsid w:val="C6EF5420"/>
    <w:rsid w:val="CCFE91CA"/>
    <w:rsid w:val="D35F4967"/>
    <w:rsid w:val="D77D0533"/>
    <w:rsid w:val="D77EF0B3"/>
    <w:rsid w:val="D7BBEF9E"/>
    <w:rsid w:val="DA6DE8BF"/>
    <w:rsid w:val="DBDFFDC3"/>
    <w:rsid w:val="DBEEBF25"/>
    <w:rsid w:val="DBFF7597"/>
    <w:rsid w:val="DC768F5D"/>
    <w:rsid w:val="DDD9526E"/>
    <w:rsid w:val="DF2C6DE8"/>
    <w:rsid w:val="DF5BA487"/>
    <w:rsid w:val="DFBB8ED4"/>
    <w:rsid w:val="DFBE1BE5"/>
    <w:rsid w:val="DFFF1517"/>
    <w:rsid w:val="E7FA7D75"/>
    <w:rsid w:val="E7FF468D"/>
    <w:rsid w:val="EB572BF3"/>
    <w:rsid w:val="ED5F9EB8"/>
    <w:rsid w:val="EDFC7A63"/>
    <w:rsid w:val="EF5BA7CE"/>
    <w:rsid w:val="EF7215FD"/>
    <w:rsid w:val="EF7E9206"/>
    <w:rsid w:val="EF7FBB21"/>
    <w:rsid w:val="EFBFB40F"/>
    <w:rsid w:val="EFEB0C52"/>
    <w:rsid w:val="EFEF5478"/>
    <w:rsid w:val="F1D5A14D"/>
    <w:rsid w:val="F1DBB04D"/>
    <w:rsid w:val="F3BD924B"/>
    <w:rsid w:val="F3E1D274"/>
    <w:rsid w:val="F3E46AD9"/>
    <w:rsid w:val="F4F6AB63"/>
    <w:rsid w:val="F57F068C"/>
    <w:rsid w:val="F6BDE04D"/>
    <w:rsid w:val="F6DF904A"/>
    <w:rsid w:val="F7B9F6A5"/>
    <w:rsid w:val="F7FB86AF"/>
    <w:rsid w:val="F9FD33B1"/>
    <w:rsid w:val="FB7DAF18"/>
    <w:rsid w:val="FB7F1F5C"/>
    <w:rsid w:val="FB7F4D0B"/>
    <w:rsid w:val="FBEE0DB3"/>
    <w:rsid w:val="FBFB676D"/>
    <w:rsid w:val="FBFBB8A7"/>
    <w:rsid w:val="FBFD53DF"/>
    <w:rsid w:val="FCD75FD0"/>
    <w:rsid w:val="FDDEA100"/>
    <w:rsid w:val="FDFBBE16"/>
    <w:rsid w:val="FECFAF8A"/>
    <w:rsid w:val="FEFB9491"/>
    <w:rsid w:val="FEFD23FA"/>
    <w:rsid w:val="FF2F8604"/>
    <w:rsid w:val="FF356BA8"/>
    <w:rsid w:val="FF3F2A57"/>
    <w:rsid w:val="FF54F5A4"/>
    <w:rsid w:val="FF6F8813"/>
    <w:rsid w:val="FF7F4F4C"/>
    <w:rsid w:val="FFAF39DC"/>
    <w:rsid w:val="FFCA25D9"/>
    <w:rsid w:val="FFD9A169"/>
    <w:rsid w:val="FFF90B4D"/>
    <w:rsid w:val="FFFFB51E"/>
    <w:rsid w:val="FFFFF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next w:val="5"/>
    <w:qFormat/>
    <w:uiPriority w:val="0"/>
    <w:pPr>
      <w:spacing w:before="120" w:after="120" w:line="312" w:lineRule="auto"/>
      <w:ind w:firstLine="480" w:firstLineChars="200"/>
      <w:contextualSpacing/>
      <w:jc w:val="left"/>
    </w:pPr>
    <w:rPr>
      <w:rFonts w:ascii="Arial" w:hAnsi="Arial"/>
      <w:color w:val="000000"/>
      <w:sz w:val="24"/>
    </w:rPr>
  </w:style>
  <w:style w:type="paragraph" w:styleId="5">
    <w:name w:val="Body Text Indent"/>
    <w:basedOn w:val="1"/>
    <w:next w:val="4"/>
    <w:qFormat/>
    <w:uiPriority w:val="0"/>
    <w:pPr>
      <w:ind w:firstLine="640" w:firstLineChars="200"/>
    </w:pPr>
    <w:rPr>
      <w:rFonts w:ascii="方正仿宋_GB18030"/>
    </w:rPr>
  </w:style>
  <w:style w:type="paragraph" w:styleId="6">
    <w:name w:val="Body Text"/>
    <w:qFormat/>
    <w:uiPriority w:val="0"/>
    <w:pPr>
      <w:keepNext w:val="0"/>
      <w:keepLines w:val="0"/>
      <w:pageBreakBefore w:val="0"/>
      <w:widowControl/>
      <w:tabs>
        <w:tab w:val="left" w:pos="642"/>
      </w:tabs>
      <w:kinsoku/>
      <w:wordWrap/>
      <w:overflowPunct/>
      <w:topLinePunct w:val="0"/>
      <w:autoSpaceDE w:val="0"/>
      <w:autoSpaceDN w:val="0"/>
      <w:bidi w:val="0"/>
      <w:adjustRightInd/>
      <w:spacing w:after="0" w:line="560" w:lineRule="exact"/>
      <w:ind w:left="0" w:leftChars="0" w:right="0" w:firstLine="640" w:firstLineChars="200"/>
      <w:jc w:val="both"/>
      <w:textAlignment w:val="auto"/>
      <w:outlineLvl w:val="9"/>
    </w:pPr>
    <w:rPr>
      <w:rFonts w:ascii="仿宋_GB2312" w:hAnsi="Calibri" w:eastAsia="仿宋_GB2312" w:cs="Times New Roman"/>
      <w:sz w:val="32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Calibri" w:hAnsi="Calibri" w:eastAsia="宋体" w:cs="Times New Roman"/>
      <w:kern w:val="2"/>
      <w:sz w:val="24"/>
      <w:szCs w:val="24"/>
      <w:lang w:val="en-US" w:eastAsia="zh-CN" w:bidi="ar"/>
    </w:rPr>
  </w:style>
  <w:style w:type="paragraph" w:styleId="10">
    <w:name w:val="Body Text First Indent 2"/>
    <w:basedOn w:val="5"/>
    <w:next w:val="1"/>
    <w:qFormat/>
    <w:uiPriority w:val="0"/>
    <w:pPr>
      <w:spacing w:line="560" w:lineRule="exact"/>
      <w:ind w:firstLine="420"/>
      <w:textAlignment w:val="baseline"/>
    </w:pPr>
    <w:rPr>
      <w:rFonts w:hAnsi="仿宋_GB2312" w:eastAsia="仿宋_GB2312" w:cs="Times New Roman"/>
      <w:color w:val="000000"/>
      <w:spacing w:val="-4"/>
      <w:sz w:val="32"/>
      <w:szCs w:val="32"/>
    </w:rPr>
  </w:style>
  <w:style w:type="character" w:styleId="13">
    <w:name w:val="Strong"/>
    <w:basedOn w:val="12"/>
    <w:qFormat/>
    <w:uiPriority w:val="0"/>
    <w:rPr>
      <w:b/>
    </w:rPr>
  </w:style>
  <w:style w:type="character" w:customStyle="1" w:styleId="14">
    <w:name w:val="15"/>
    <w:basedOn w:val="12"/>
    <w:qFormat/>
    <w:uiPriority w:val="0"/>
    <w:rPr>
      <w:rFonts w:hint="default" w:ascii="Times New Roman" w:hAnsi="Times New Roman" w:cs="Times New Roman"/>
    </w:rPr>
  </w:style>
  <w:style w:type="character" w:customStyle="1" w:styleId="15">
    <w:name w:val="10"/>
    <w:basedOn w:val="12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c369f216-0ca8-465f-ba7c-c00cefd606f0</errorID>
      <errorWord xmlns="http://schemas.wps.cn/vas-ai-hub/contract-review">党的二十大、二十届二中、</errorWord>
      <group xmlns="http://schemas.wps.cn/vas-ai-hub/contract-review">L1_Political</group>
      <groupName xmlns="http://schemas.wps.cn/vas-ai-hub/contract-review">政治性问题</groupName>
      <ability xmlns="http://schemas.wps.cn/vas-ai-hub/contract-review">L2_Unpolitical</ability>
      <abilityName xmlns="http://schemas.wps.cn/vas-ai-hub/contract-review">政治敏感错误</abilityName>
      <candidateList xmlns="http://schemas.wps.cn/vas-ai-hub/contract-review">
        <item xmlns="http://schemas.wps.cn/vas-ai-hub/contract-review">党的二十大和二十届二中、</item>
      </candidateList>
      <explain xmlns="http://schemas.wps.cn/vas-ai-hub/contract-review"/>
      <paraID xmlns="http://schemas.wps.cn/vas-ai-hub/contract-review"> 770725E</paraID>
      <start xmlns="http://schemas.wps.cn/vas-ai-hub/contract-review">4</start>
      <end xmlns="http://schemas.wps.cn/vas-ai-hub/contract-review">16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514e6df7-b7fa-4523-8712-26b8c405bbf6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 770725E</paraID>
      <start xmlns="http://schemas.wps.cn/vas-ai-hub/contract-review">54</start>
      <end xmlns="http://schemas.wps.cn/vas-ai-hub/contract-review">55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b251e77b-de6b-4cac-a177-ca90bb346c16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3E56EE95</paraID>
      <start xmlns="http://schemas.wps.cn/vas-ai-hub/contract-review">127</start>
      <end xmlns="http://schemas.wps.cn/vas-ai-hub/contract-review">128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69b3df86-bc2b-413b-9420-40ee245da785</errorID>
      <errorWord xmlns="http://schemas.wps.cn/vas-ai-hub/contract-review">。。。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</ability>
      <abilityName xmlns="http://schemas.wps.cn/vas-ai-hub/contract-review">标点符号检查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52E7B461</paraID>
      <start xmlns="http://schemas.wps.cn/vas-ai-hub/contract-review">50</start>
      <end xmlns="http://schemas.wps.cn/vas-ai-hub/contract-review">53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d766d952-6427-4cf3-bbc7-6848ab22d7bb</errorID>
      <errorWord xmlns="http://schemas.wps.cn/vas-ai-hub/contract-review">.</errorWord>
      <group xmlns="http://schemas.wps.cn/vas-ai-hub/contract-review">L1_Punc</group>
      <groupName xmlns="http://schemas.wps.cn/vas-ai-hub/contract-review">标点问题</groupName>
      <ability xmlns="http://schemas.wps.cn/vas-ai-hub/contract-review">L2_Punc</ability>
      <abilityName xmlns="http://schemas.wps.cn/vas-ai-hub/contract-review">标点符号检查</abilityName>
      <candidateList xmlns="http://schemas.wps.cn/vas-ai-hub/contract-review"/>
      <explain xmlns="http://schemas.wps.cn/vas-ai-hub/contract-review"/>
      <paraID xmlns="http://schemas.wps.cn/vas-ai-hub/contract-review">298E54A9</paraID>
      <start xmlns="http://schemas.wps.cn/vas-ai-hub/contract-review">0</start>
      <end xmlns="http://schemas.wps.cn/vas-ai-hub/contract-review">1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971fb6-faf2-429b-8e1f-a5337c954c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7641</Words>
  <Characters>7829</Characters>
  <Lines>1</Lines>
  <Paragraphs>1</Paragraphs>
  <TotalTime>2</TotalTime>
  <ScaleCrop>false</ScaleCrop>
  <LinksUpToDate>false</LinksUpToDate>
  <CharactersWithSpaces>7841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2026-01-15T10:21:00Z</dcterms:created>
  <dc:creator>Huawei</dc:creator>
  <cp:lastModifiedBy>付强</cp:lastModifiedBy>
  <cp:lastPrinted>2026-03-28T23:14:00Z</cp:lastPrinted>
  <dcterms:modified xsi:type="dcterms:W3CDTF">2026-03-30T01:56:02Z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eyJoZGlkIjoiMzEwNTM5NzYwMDRjMzkwZTVkZjY2ODkwMGIxNGU0OTUiLCJ1c2VySWQiOiIxNjA3MzEwNDgxIn0=</vt:lpwstr>
  </property>
  <property fmtid="{D5CDD505-2E9C-101B-9397-08002B2CF9AE}" pid="4" name="ICV">
    <vt:lpwstr>797E4374AB8640E78559D5A23612FF4E_13</vt:lpwstr>
  </property>
</Properties>
</file>