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Face Capture</w:t>
        <w:br/>
        <w:t>System Design</w:t>
      </w:r>
    </w:p>
    <w:p>
      <w:pPr>
        <w:pStyle w:val="Subtitle"/>
      </w:pPr>
      <w:r>
        <w:t>Rear-camera acquisition and hybrid 3D reconstruction</w:t>
      </w:r>
    </w:p>
    <w:p>
      <w:pPr>
        <w:pStyle w:val="Metadata"/>
      </w:pPr>
      <w:r>
        <w:t>Status: Current implementation review with proposed follow-up work</w:t>
      </w:r>
    </w:p>
    <w:p>
      <w:pPr>
        <w:pStyle w:val="Metadata"/>
      </w:pPr>
      <w:r>
        <w:t>Version: 1.0  |  Reviewed: September 8, 2026</w:t>
      </w:r>
    </w:p>
    <w:p>
      <w:pPr>
        <w:pStyle w:val="Metadata"/>
      </w:pPr>
      <w:r>
        <w:t>Audience: Product, iOS engineering, reconstruction engineering, and capture operators</w:t>
      </w:r>
    </w:p>
    <w:p>
      <w:pPr>
        <w:pStyle w:val="Heading1"/>
      </w:pPr>
      <w:r>
        <w:t>Purpose and scope</w:t>
      </w:r>
    </w:p>
    <w:p>
      <w:r>
        <w:t>Document how the app captures another person’s face, what each viewpoint records, and how those records become a 3D surface. The specification follows the current workspace source. The build installed on a phone has not been verified against this revision.</w:t>
      </w:r>
    </w:p>
    <w:p>
      <w:r>
        <w:rPr>
          <w:b/>
        </w:rPr>
        <w:t xml:space="preserve">Core design. </w:t>
      </w:r>
      <w:r>
        <w:t>The operator moves the rear camera through nine guided viewpoints, then performs a continuous photo sweep. The subject remains still. LiDAR depth drives measurement geometry; overlapping photographs drive the detailed textured display.</w:t>
      </w:r>
    </w:p>
    <w:p>
      <w:pPr>
        <w:pStyle w:val="Heading2"/>
      </w:pPr>
      <w:r>
        <w:t>Design goals</w:t>
      </w:r>
    </w:p>
    <w:p>
      <w:pPr>
        <w:pStyle w:val="ListBullet"/>
      </w:pPr>
      <w:r>
        <w:t>Guide broad face coverage with a bounded set of depth stations and clear progress cues.</w:t>
      </w:r>
    </w:p>
    <w:p>
      <w:pPr>
        <w:pStyle w:val="ListBullet"/>
      </w:pPr>
      <w:r>
        <w:t>Preserve depth units, camera calibration, and head-relative camera transforms for reconstruction.</w:t>
      </w:r>
    </w:p>
    <w:p>
      <w:pPr>
        <w:pStyle w:val="ListBullet"/>
      </w:pPr>
      <w:r>
        <w:t>Support both LiDAR-equipped and photo-only devices through a shared capture state machine.</w:t>
      </w:r>
    </w:p>
    <w:p>
      <w:pPr>
        <w:pStyle w:val="ListBullet"/>
      </w:pPr>
      <w:r>
        <w:t>Keep local saving separate from upload and server reconstruction.</w:t>
      </w:r>
    </w:p>
    <w:p>
      <w:pPr>
        <w:pStyle w:val="Heading2"/>
      </w:pPr>
      <w:r>
        <w:t>Scope boundaries</w:t>
      </w:r>
    </w:p>
    <w:p>
      <w:r>
        <w:t>This design covers acquisition, session persistence, upload handoff, and reconstruction inputs and outputs. It does not define a new capture UI or modify application behavior. Photo-only sessions are display-only. Real-face measurement accuracy, including rear LiDAR accuracy, remains to be validated.</w:t>
      </w:r>
    </w:p>
    <w:p>
      <w:pPr>
        <w:pStyle w:val="Heading2"/>
      </w:pPr>
      <w:r>
        <w:t>Key decisions</w:t>
      </w:r>
    </w:p>
    <w:p>
      <w:r>
        <w:t>Use rear-camera world tracking to reach wide profiles; freeze a shared head reference after Front; average repeated depth samples at each stop; gather dense color separately; retain distinct measurement and display meshes. These decisions describe the current implementation. Proposed changes appear on page 7.</w:t>
      </w:r>
    </w:p>
    <w:p>
      <w:pPr>
        <w:pStyle w:val="Source"/>
      </w:pPr>
      <w:r>
        <w:t>Basis: [S1] CaptureController; [S2] RearCaptureBackend; [S5] server processing.</w:t>
      </w:r>
    </w:p>
    <w:p>
      <w:r>
        <w:br w:type="page"/>
      </w:r>
    </w:p>
    <w:p>
      <w:pPr>
        <w:pStyle w:val="Heading1"/>
      </w:pPr>
      <w:r>
        <w:t>Capture sequence and surface coverage</w:t>
      </w:r>
    </w:p>
    <w:p>
      <w:r>
        <w:t>All directions refer to the subject’s own left and right. L ½ and R ½ are intermediate oblique views, not 1.5-second holds. Jaw is the on-screen name of the chin step. The current order returns to Ear L before Ear R.</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4" w:color="D7DFE7"/>
          <w:left w:val="single" w:sz="4" w:color="D7DFE7"/>
          <w:bottom w:val="single" w:sz="4" w:color="D7DFE7"/>
          <w:right w:val="single" w:sz="4" w:color="D7DFE7"/>
          <w:insideH w:val="single" w:sz="4" w:color="D7DFE7"/>
          <w:insideV w:val="single" w:sz="4" w:color="D7DFE7"/>
        </w:tblBorders>
      </w:tblPr>
      <w:tblGrid>
        <w:gridCol w:w="1800"/>
        <w:gridCol w:w="2100"/>
        <w:gridCol w:w="5460"/>
      </w:tblGrid>
      <w:tr>
        <w:trPr>
          <w:cantSplit/>
          <w:tblHeader/>
        </w:trPr>
        <w:tc>
          <w:tcPr>
            <w:tcW w:type="dxa" w:w="1800"/>
            <w:shd w:fill="F2F4F7"/>
          </w:tcPr>
          <w:p>
            <w:pPr>
              <w:pStyle w:val="TableHead"/>
            </w:pPr>
            <w:r>
              <w:t>Step / UI label</w:t>
            </w:r>
          </w:p>
        </w:tc>
        <w:tc>
          <w:tcPr>
            <w:tcW w:type="dxa" w:w="2100"/>
            <w:shd w:fill="F2F4F7"/>
          </w:tcPr>
          <w:p>
            <w:pPr>
              <w:pStyle w:val="TableHead"/>
            </w:pPr>
            <w:r>
              <w:t>Target yaw / elevation</w:t>
            </w:r>
          </w:p>
        </w:tc>
        <w:tc>
          <w:tcPr>
            <w:tcW w:type="dxa" w:w="5460"/>
            <w:shd w:fill="F2F4F7"/>
          </w:tcPr>
          <w:p>
            <w:pPr>
              <w:pStyle w:val="TableHead"/>
            </w:pPr>
            <w:r>
              <w:t>Intended additional visibility</w:t>
            </w:r>
          </w:p>
        </w:tc>
      </w:tr>
      <w:tr>
        <w:trPr>
          <w:cantSplit/>
        </w:trPr>
        <w:tc>
          <w:tcPr>
            <w:tcW w:type="dxa" w:w="1800"/>
          </w:tcPr>
          <w:p>
            <w:pPr>
              <w:pStyle w:val="TableBody"/>
            </w:pPr>
            <w:r>
              <w:t>1. Front</w:t>
            </w:r>
          </w:p>
        </w:tc>
        <w:tc>
          <w:tcPr>
            <w:tcW w:type="dxa" w:w="2100"/>
          </w:tcPr>
          <w:p>
            <w:pPr>
              <w:pStyle w:val="TableBody"/>
            </w:pPr>
            <w:r>
              <w:t>0° / 0°</w:t>
            </w:r>
          </w:p>
        </w:tc>
        <w:tc>
          <w:tcPr>
            <w:tcW w:type="dxa" w:w="5460"/>
          </w:tcPr>
          <w:p>
            <w:pPr>
              <w:pStyle w:val="TableBody"/>
            </w:pPr>
            <w:r>
              <w:t>Central face; establishes the common reference.</w:t>
            </w:r>
          </w:p>
        </w:tc>
      </w:tr>
      <w:tr>
        <w:trPr>
          <w:cantSplit/>
        </w:trPr>
        <w:tc>
          <w:tcPr>
            <w:tcW w:type="dxa" w:w="1800"/>
          </w:tcPr>
          <w:p>
            <w:pPr>
              <w:pStyle w:val="TableBody"/>
            </w:pPr>
            <w:r>
              <w:t>2. L ½</w:t>
            </w:r>
          </w:p>
        </w:tc>
        <w:tc>
          <w:tcPr>
            <w:tcW w:type="dxa" w:w="2100"/>
          </w:tcPr>
          <w:p>
            <w:pPr>
              <w:pStyle w:val="TableBody"/>
            </w:pPr>
            <w:r>
              <w:t>−35° / 0°</w:t>
            </w:r>
          </w:p>
        </w:tc>
        <w:tc>
          <w:tcPr>
            <w:tcW w:type="dxa" w:w="5460"/>
          </w:tcPr>
          <w:p>
            <w:pPr>
              <w:pStyle w:val="TableBody"/>
            </w:pPr>
            <w:r>
              <w:t>Left cheek and nose; bridges front and profile.</w:t>
            </w:r>
          </w:p>
        </w:tc>
      </w:tr>
      <w:tr>
        <w:trPr>
          <w:cantSplit/>
        </w:trPr>
        <w:tc>
          <w:tcPr>
            <w:tcW w:type="dxa" w:w="1800"/>
          </w:tcPr>
          <w:p>
            <w:pPr>
              <w:pStyle w:val="TableBody"/>
            </w:pPr>
            <w:r>
              <w:t>3. Left</w:t>
            </w:r>
          </w:p>
        </w:tc>
        <w:tc>
          <w:tcPr>
            <w:tcW w:type="dxa" w:w="2100"/>
          </w:tcPr>
          <w:p>
            <w:pPr>
              <w:pStyle w:val="TableBody"/>
            </w:pPr>
            <w:r>
              <w:t>−72° / 0°</w:t>
            </w:r>
          </w:p>
        </w:tc>
        <w:tc>
          <w:tcPr>
            <w:tcW w:type="dxa" w:w="5460"/>
          </w:tcPr>
          <w:p>
            <w:pPr>
              <w:pStyle w:val="TableBody"/>
            </w:pPr>
            <w:r>
              <w:t>Left near-profile nose, lips, chin, cheek, and jaw.</w:t>
            </w:r>
          </w:p>
        </w:tc>
      </w:tr>
      <w:tr>
        <w:trPr>
          <w:cantSplit/>
        </w:trPr>
        <w:tc>
          <w:tcPr>
            <w:tcW w:type="dxa" w:w="1800"/>
          </w:tcPr>
          <w:p>
            <w:pPr>
              <w:pStyle w:val="TableBody"/>
            </w:pPr>
            <w:r>
              <w:t>4. R ½</w:t>
            </w:r>
          </w:p>
        </w:tc>
        <w:tc>
          <w:tcPr>
            <w:tcW w:type="dxa" w:w="2100"/>
          </w:tcPr>
          <w:p>
            <w:pPr>
              <w:pStyle w:val="TableBody"/>
            </w:pPr>
            <w:r>
              <w:t>+35° / 0°</w:t>
            </w:r>
          </w:p>
        </w:tc>
        <w:tc>
          <w:tcPr>
            <w:tcW w:type="dxa" w:w="5460"/>
          </w:tcPr>
          <w:p>
            <w:pPr>
              <w:pStyle w:val="TableBody"/>
            </w:pPr>
            <w:r>
              <w:t>Right cheek and nose; bridges front and profile.</w:t>
            </w:r>
          </w:p>
        </w:tc>
      </w:tr>
      <w:tr>
        <w:trPr>
          <w:cantSplit/>
        </w:trPr>
        <w:tc>
          <w:tcPr>
            <w:tcW w:type="dxa" w:w="1800"/>
          </w:tcPr>
          <w:p>
            <w:pPr>
              <w:pStyle w:val="TableBody"/>
            </w:pPr>
            <w:r>
              <w:t>5. Right</w:t>
            </w:r>
          </w:p>
        </w:tc>
        <w:tc>
          <w:tcPr>
            <w:tcW w:type="dxa" w:w="2100"/>
          </w:tcPr>
          <w:p>
            <w:pPr>
              <w:pStyle w:val="TableBody"/>
            </w:pPr>
            <w:r>
              <w:t>+72° / 0°</w:t>
            </w:r>
          </w:p>
        </w:tc>
        <w:tc>
          <w:tcPr>
            <w:tcW w:type="dxa" w:w="5460"/>
          </w:tcPr>
          <w:p>
            <w:pPr>
              <w:pStyle w:val="TableBody"/>
            </w:pPr>
            <w:r>
              <w:t>Right near-profile nose, lips, chin, cheek, and jaw.</w:t>
            </w:r>
          </w:p>
        </w:tc>
      </w:tr>
      <w:tr>
        <w:trPr>
          <w:cantSplit/>
        </w:trPr>
        <w:tc>
          <w:tcPr>
            <w:tcW w:type="dxa" w:w="1800"/>
          </w:tcPr>
          <w:p>
            <w:pPr>
              <w:pStyle w:val="TableBody"/>
            </w:pPr>
            <w:r>
              <w:t>6. Brow</w:t>
            </w:r>
          </w:p>
        </w:tc>
        <w:tc>
          <w:tcPr>
            <w:tcW w:type="dxa" w:w="2100"/>
          </w:tcPr>
          <w:p>
            <w:pPr>
              <w:pStyle w:val="TableBody"/>
            </w:pPr>
            <w:r>
              <w:t>0° / +30°</w:t>
            </w:r>
          </w:p>
        </w:tc>
        <w:tc>
          <w:tcPr>
            <w:tcW w:type="dxa" w:w="5460"/>
          </w:tcPr>
          <w:p>
            <w:pPr>
              <w:pStyle w:val="TableBody"/>
            </w:pPr>
            <w:r>
              <w:t>Forehead, brow, and upper nose from above.</w:t>
            </w:r>
          </w:p>
        </w:tc>
      </w:tr>
      <w:tr>
        <w:trPr>
          <w:cantSplit/>
        </w:trPr>
        <w:tc>
          <w:tcPr>
            <w:tcW w:type="dxa" w:w="1800"/>
          </w:tcPr>
          <w:p>
            <w:pPr>
              <w:pStyle w:val="TableBody"/>
            </w:pPr>
            <w:r>
              <w:t>7. Jaw</w:t>
            </w:r>
          </w:p>
        </w:tc>
        <w:tc>
          <w:tcPr>
            <w:tcW w:type="dxa" w:w="2100"/>
          </w:tcPr>
          <w:p>
            <w:pPr>
              <w:pStyle w:val="TableBody"/>
            </w:pPr>
            <w:r>
              <w:t>0° / −30°</w:t>
            </w:r>
          </w:p>
        </w:tc>
        <w:tc>
          <w:tcPr>
            <w:tcW w:type="dxa" w:w="5460"/>
          </w:tcPr>
          <w:p>
            <w:pPr>
              <w:pStyle w:val="TableBody"/>
            </w:pPr>
            <w:r>
              <w:t>Chin underside, lower jaw, and nose from below.</w:t>
            </w:r>
          </w:p>
        </w:tc>
      </w:tr>
      <w:tr>
        <w:trPr>
          <w:cantSplit/>
        </w:trPr>
        <w:tc>
          <w:tcPr>
            <w:tcW w:type="dxa" w:w="1800"/>
          </w:tcPr>
          <w:p>
            <w:pPr>
              <w:pStyle w:val="TableBody"/>
            </w:pPr>
            <w:r>
              <w:t>8. Ear L</w:t>
            </w:r>
          </w:p>
        </w:tc>
        <w:tc>
          <w:tcPr>
            <w:tcW w:type="dxa" w:w="2100"/>
          </w:tcPr>
          <w:p>
            <w:pPr>
              <w:pStyle w:val="TableBody"/>
            </w:pPr>
            <w:r>
              <w:t>−80° / 0°</w:t>
            </w:r>
          </w:p>
        </w:tc>
        <w:tc>
          <w:tcPr>
            <w:tcW w:type="dxa" w:w="5460"/>
          </w:tcPr>
          <w:p>
            <w:pPr>
              <w:pStyle w:val="TableBody"/>
            </w:pPr>
            <w:r>
              <w:t>Wider left-side coverage near ear, temple, and outer jaw.</w:t>
            </w:r>
          </w:p>
        </w:tc>
      </w:tr>
      <w:tr>
        <w:trPr>
          <w:cantSplit/>
        </w:trPr>
        <w:tc>
          <w:tcPr>
            <w:tcW w:type="dxa" w:w="1800"/>
          </w:tcPr>
          <w:p>
            <w:pPr>
              <w:pStyle w:val="TableBody"/>
            </w:pPr>
            <w:r>
              <w:t>9. Ear R</w:t>
            </w:r>
          </w:p>
        </w:tc>
        <w:tc>
          <w:tcPr>
            <w:tcW w:type="dxa" w:w="2100"/>
          </w:tcPr>
          <w:p>
            <w:pPr>
              <w:pStyle w:val="TableBody"/>
            </w:pPr>
            <w:r>
              <w:t>+80° / 0°</w:t>
            </w:r>
          </w:p>
        </w:tc>
        <w:tc>
          <w:tcPr>
            <w:tcW w:type="dxa" w:w="5460"/>
          </w:tcPr>
          <w:p>
            <w:pPr>
              <w:pStyle w:val="TableBody"/>
            </w:pPr>
            <w:r>
              <w:t>Wider right-side coverage near ear, temple, and outer jaw.</w:t>
            </w:r>
          </w:p>
        </w:tc>
      </w:tr>
      <w:tr>
        <w:trPr>
          <w:cantSplit/>
        </w:trPr>
        <w:tc>
          <w:tcPr>
            <w:tcW w:type="dxa" w:w="1800"/>
          </w:tcPr>
          <w:p>
            <w:pPr>
              <w:pStyle w:val="TableBody"/>
            </w:pPr>
            <w:r>
              <w:t>10. Photo sweep</w:t>
            </w:r>
          </w:p>
        </w:tc>
        <w:tc>
          <w:tcPr>
            <w:tcW w:type="dxa" w:w="2100"/>
          </w:tcPr>
          <w:p>
            <w:pPr>
              <w:pStyle w:val="TableBody"/>
            </w:pPr>
            <w:r>
              <w:t>Continuous views</w:t>
            </w:r>
          </w:p>
        </w:tc>
        <w:tc>
          <w:tcPr>
            <w:tcW w:type="dxa" w:w="5460"/>
          </w:tcPr>
          <w:p>
            <w:pPr>
              <w:pStyle w:val="TableBody"/>
            </w:pPr>
            <w:r>
              <w:t>Overlapping color views at multiple elevations.</w:t>
            </w:r>
          </w:p>
        </w:tc>
      </w:tr>
    </w:tbl>
    <w:p>
      <w:pPr>
        <w:pStyle w:val="Source"/>
      </w:pPr>
      <w:r>
        <w:t>Targets and order: [S1] Pose. Labels: [S3] CaptureView.label(for:).</w:t>
      </w:r>
    </w:p>
    <w:p>
      <w:pPr>
        <w:pStyle w:val="Heading2"/>
      </w:pPr>
      <w:r>
        <w:t>Shared behavior at the nine stops</w:t>
      </w:r>
    </w:p>
    <w:p>
      <w:r>
        <w:t>Every guided stop uses the same sensors and capture algorithm. With LiDAR, it saves one averaged depth map and one selected color image. Without LiDAR, it saves a selected station photo. Both modes retain camera calibration and a head-relative transform.</w:t>
      </w:r>
    </w:p>
    <w:p>
      <w:r>
        <w:t>The region names describe useful viewpoints. They do not invoke dedicated brow, chin, or ear sensing or save an isolated anatomical crop. Recorded coverage depends on visibility, framing, hair, and valid depth returns.</w:t>
      </w:r>
    </w:p>
    <w:p>
      <w:pPr>
        <w:pStyle w:val="Heading2"/>
      </w:pPr>
      <w:r>
        <w:t>Why the last two side views exist</w:t>
      </w:r>
    </w:p>
    <w:p>
      <w:r>
        <w:t>Ear views target 80°, only 8° beyond the 72° near-profiles. They provide another opportunity to see lateral surfaces. Their yaw acceptance windows overlap, so distinct ear coverage is not guaranteed. The later sweep can add further visible detail.</w:t>
      </w:r>
    </w:p>
    <w:p>
      <w:r>
        <w:br w:type="page"/>
      </w:r>
    </w:p>
    <w:p>
      <w:pPr>
        <w:pStyle w:val="Heading1"/>
      </w:pPr>
      <w:r>
        <w:t>Architecture and coordinate model</w:t>
      </w:r>
    </w:p>
    <w:p>
      <w:r>
        <w:drawing>
          <wp:inline xmlns:a="http://schemas.openxmlformats.org/drawingml/2006/main" xmlns:pic="http://schemas.openxmlformats.org/drawingml/2006/picture">
            <wp:extent cx="5943600" cy="1676400"/>
            <wp:docPr id="1" name="Picture 1" descr="Color, optional depth, and camera pose flow through face localization and the capture controller to saved records. Depth records feed measurement fusion; photos feed Object Capture display reconstruction."/>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1676400"/>
                    </a:xfrm>
                    <a:prstGeom prst="rect"/>
                  </pic:spPr>
                </pic:pic>
              </a:graphicData>
            </a:graphic>
          </wp:inline>
        </w:drawing>
      </w:r>
    </w:p>
    <w:p>
      <w:pPr>
        <w:pStyle w:val="Source"/>
      </w:pPr>
      <w:r>
        <w:t>Schematic of data responsibilities. Photo inputs include selected guided images and accepted sweep images.</w:t>
      </w:r>
    </w:p>
    <w:p>
      <w:pPr>
        <w:pStyle w:val="Heading2"/>
      </w:pPr>
      <w:r>
        <w:t>Component responsibilities</w:t>
      </w:r>
    </w:p>
    <w:p>
      <w:r>
        <w:rPr>
          <w:b/>
        </w:rPr>
        <w:t xml:space="preserve">SwiftUI views [S3]. </w:t>
      </w:r>
      <w:r>
        <w:t>Render the preview, alignment guides, pose stepper, coverage grid, and finish action.</w:t>
      </w:r>
    </w:p>
    <w:p>
      <w:r>
        <w:rPr>
          <w:b/>
        </w:rPr>
        <w:t xml:space="preserve">Rear backend [S2]. </w:t>
      </w:r>
      <w:r>
        <w:t>Configure ARWorldTrackingConfiguration, request Vision detections, extract LiDAR depth, establish the head reference, and report camera angles and transforms.</w:t>
      </w:r>
    </w:p>
    <w:p>
      <w:r>
        <w:rPr>
          <w:b/>
        </w:rPr>
        <w:t xml:space="preserve">Capture controller [S1]. </w:t>
      </w:r>
      <w:r>
        <w:t>Own state transitions, alignment gates, burst reduction, photo selection, sweep harvesting, and the save trigger.</w:t>
      </w:r>
    </w:p>
    <w:p>
      <w:r>
        <w:rPr>
          <w:b/>
        </w:rPr>
        <w:t xml:space="preserve">Persistence and processing [S4–S6]. </w:t>
      </w:r>
      <w:r>
        <w:t>Write the session contract, upload the local folder, and build the depth and photographic reconstruction outputs.</w:t>
      </w:r>
    </w:p>
    <w:p>
      <w:pPr>
        <w:pStyle w:val="Heading2"/>
      </w:pPr>
      <w:r>
        <w:t>Head reference and camera geometry</w:t>
      </w:r>
    </w:p>
    <w:p>
      <w:r>
        <w:t>Before Front captures, Vision finds the face rectangle, head yaw, and pupil landmarks. LiDAR estimates face distance from a median of valid samples near the face center. Photo-only mode estimates distance using an assumed 14 cm face width. This is guidance-grade localization.</w:t>
      </w:r>
    </w:p>
    <w:p>
      <w:r>
        <w:t>The backend creates a gravity-aligned reference approximately 9 cm behind the detected face surface. It freezes after Front. Its axes are +y up, +z out of the face, and +x toward the subject’s left. Controller yaw is positive toward the subject’s right. Elevation is positive above the head reference.</w:t>
      </w:r>
    </w:p>
    <w:p>
      <w:r>
        <w:t>Stored extrinsics map the head frame into OpenCV camera coordinates with translations in millimeters. Intrinsics describe focal lengths and the principal point at the saved image or depth resolution. ARKit world tracking continues to position the camera when a profile face is no longer visible to Vision.</w:t>
      </w:r>
    </w:p>
    <w:p>
      <w:pPr>
        <w:pStyle w:val="Source"/>
      </w:pPr>
      <w:r>
        <w:t>Coordinate conversion: [S2] and CaptureBackend.swift.</w:t>
      </w:r>
    </w:p>
    <w:p>
      <w:pPr>
        <w:pStyle w:val="Source"/>
      </w:pPr>
      <w:r>
        <w:t>[A1] Apple, Understanding World Tracking: https://developer.apple.com/documentation/arkit/understanding-world-tracking</w:t>
      </w:r>
    </w:p>
    <w:p>
      <w:r>
        <w:br w:type="page"/>
      </w:r>
    </w:p>
    <w:p>
      <w:pPr>
        <w:pStyle w:val="Heading1"/>
      </w:pPr>
      <w:r>
        <w:t>Guided capture state machine</w:t>
      </w:r>
    </w:p>
    <w:p>
      <w:r>
        <w:t>Idle → Preview → Aligning → Holding → Capturing. Successful captures advance to the next guided pose. After Ear R, the state becomes Orbiting. Finish pauses the session and initiates local saving. A save failure is reported in the status text. [S1]</w:t>
      </w:r>
    </w:p>
    <w:p>
      <w:pPr>
        <w:pStyle w:val="Heading2"/>
      </w:pPr>
      <w:r>
        <w:t>Alignment and automatic shutter</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4" w:color="D7DFE7"/>
          <w:left w:val="single" w:sz="4" w:color="D7DFE7"/>
          <w:bottom w:val="single" w:sz="4" w:color="D7DFE7"/>
          <w:right w:val="single" w:sz="4" w:color="D7DFE7"/>
          <w:insideH w:val="single" w:sz="4" w:color="D7DFE7"/>
          <w:insideV w:val="single" w:sz="4" w:color="D7DFE7"/>
        </w:tblBorders>
      </w:tblPr>
      <w:tblGrid>
        <w:gridCol w:w="2550"/>
        <w:gridCol w:w="6810"/>
      </w:tblGrid>
      <w:tr>
        <w:trPr>
          <w:cantSplit/>
          <w:tblHeader/>
        </w:trPr>
        <w:tc>
          <w:tcPr>
            <w:tcW w:type="dxa" w:w="2550"/>
            <w:shd w:fill="F2F4F7"/>
          </w:tcPr>
          <w:p>
            <w:pPr>
              <w:pStyle w:val="TableHead"/>
            </w:pPr>
            <w:r>
              <w:t>Parameter</w:t>
            </w:r>
          </w:p>
        </w:tc>
        <w:tc>
          <w:tcPr>
            <w:tcW w:type="dxa" w:w="6810"/>
            <w:shd w:fill="F2F4F7"/>
          </w:tcPr>
          <w:p>
            <w:pPr>
              <w:pStyle w:val="TableHead"/>
            </w:pPr>
            <w:r>
              <w:t>Current value / behavior</w:t>
            </w:r>
          </w:p>
        </w:tc>
      </w:tr>
      <w:tr>
        <w:trPr>
          <w:cantSplit/>
        </w:trPr>
        <w:tc>
          <w:tcPr>
            <w:tcW w:type="dxa" w:w="2550"/>
          </w:tcPr>
          <w:p>
            <w:pPr>
              <w:pStyle w:val="TableBody"/>
            </w:pPr>
            <w:r>
              <w:t>Hold duration</w:t>
            </w:r>
          </w:p>
        </w:tc>
        <w:tc>
          <w:tcPr>
            <w:tcW w:type="dxa" w:w="6810"/>
          </w:tcPr>
          <w:p>
            <w:pPr>
              <w:pStyle w:val="TableBody"/>
            </w:pPr>
            <w:r>
              <w:t>0.6 s; brief alignment dropouts have 0.35 s grace.</w:t>
            </w:r>
          </w:p>
        </w:tc>
      </w:tr>
      <w:tr>
        <w:trPr>
          <w:cantSplit/>
        </w:trPr>
        <w:tc>
          <w:tcPr>
            <w:tcW w:type="dxa" w:w="2550"/>
          </w:tcPr>
          <w:p>
            <w:pPr>
              <w:pStyle w:val="TableBody"/>
            </w:pPr>
            <w:r>
              <w:t>Head-reference distance</w:t>
            </w:r>
          </w:p>
        </w:tc>
        <w:tc>
          <w:tcPr>
            <w:tcW w:type="dxa" w:w="6810"/>
          </w:tcPr>
          <w:p>
            <w:pPr>
              <w:pStyle w:val="TableBody"/>
            </w:pPr>
            <w:r>
              <w:t>Greater than 250 mm and less than 620 mm.</w:t>
            </w:r>
          </w:p>
        </w:tc>
      </w:tr>
      <w:tr>
        <w:trPr>
          <w:cantSplit/>
        </w:trPr>
        <w:tc>
          <w:tcPr>
            <w:tcW w:type="dxa" w:w="2550"/>
          </w:tcPr>
          <w:p>
            <w:pPr>
              <w:pStyle w:val="TableBody"/>
            </w:pPr>
            <w:r>
              <w:t>Yaw tolerance</w:t>
            </w:r>
          </w:p>
        </w:tc>
        <w:tc>
          <w:tcPr>
            <w:tcW w:type="dxa" w:w="6810"/>
          </w:tcPr>
          <w:p>
            <w:pPr>
              <w:pStyle w:val="TableBody"/>
            </w:pPr>
            <w:r>
              <w:t>Base ±12°; ear views add 6°. Prolonged alignment search can add up to 6° more.</w:t>
            </w:r>
          </w:p>
        </w:tc>
      </w:tr>
      <w:tr>
        <w:trPr>
          <w:cantSplit/>
        </w:trPr>
        <w:tc>
          <w:tcPr>
            <w:tcW w:type="dxa" w:w="2550"/>
          </w:tcPr>
          <w:p>
            <w:pPr>
              <w:pStyle w:val="TableBody"/>
            </w:pPr>
            <w:r>
              <w:t>Elevation / roll</w:t>
            </w:r>
          </w:p>
        </w:tc>
        <w:tc>
          <w:tcPr>
            <w:tcW w:type="dxa" w:w="6810"/>
          </w:tcPr>
          <w:p>
            <w:pPr>
              <w:pStyle w:val="TableBody"/>
            </w:pPr>
            <w:r>
              <w:t>Base ±10° / ±10°; profile and ear elevation tolerance is ±15°.</w:t>
            </w:r>
          </w:p>
        </w:tc>
      </w:tr>
      <w:tr>
        <w:trPr>
          <w:cantSplit/>
        </w:trPr>
        <w:tc>
          <w:tcPr>
            <w:tcW w:type="dxa" w:w="2550"/>
          </w:tcPr>
          <w:p>
            <w:pPr>
              <w:pStyle w:val="TableBody"/>
            </w:pPr>
            <w:r>
              <w:t>Stillness gate</w:t>
            </w:r>
          </w:p>
        </w:tc>
        <w:tc>
          <w:tcPr>
            <w:tcW w:type="dxa" w:w="6810"/>
          </w:tcPr>
          <w:p>
            <w:pPr>
              <w:pStyle w:val="TableBody"/>
            </w:pPr>
            <w:r>
              <w:t>Smoothed motion metric below 55: translation speed in mm/s plus 2 × angular speed in degrees/s.</w:t>
            </w:r>
          </w:p>
        </w:tc>
      </w:tr>
      <w:tr>
        <w:trPr>
          <w:cantSplit/>
        </w:trPr>
        <w:tc>
          <w:tcPr>
            <w:tcW w:type="dxa" w:w="2550"/>
          </w:tcPr>
          <w:p>
            <w:pPr>
              <w:pStyle w:val="TableBody"/>
            </w:pPr>
            <w:r>
              <w:t>Expression</w:t>
            </w:r>
          </w:p>
        </w:tc>
        <w:tc>
          <w:tcPr>
            <w:tcW w:type="dxa" w:w="6810"/>
          </w:tcPr>
          <w:p>
            <w:pPr>
              <w:pStyle w:val="TableBody"/>
            </w:pPr>
            <w:r>
              <w:t>Rear backend returns true; the operator must ensure a neutral expression.</w:t>
            </w:r>
          </w:p>
        </w:tc>
      </w:tr>
    </w:tbl>
    <w:p>
      <w:pPr>
        <w:pStyle w:val="Source"/>
      </w:pPr>
      <w:r>
        <w:t>Implementation values: [S1] constants and alignment evaluation. They are tuning values, not accuracy guarantees.</w:t>
      </w:r>
    </w:p>
    <w:p>
      <w:pPr>
        <w:pStyle w:val="Heading2"/>
      </w:pPr>
      <w:r>
        <w:t>LiDAR burst reduction</w:t>
      </w:r>
    </w:p>
    <w:p>
      <w:r>
        <w:t>At each accepted station, collect eight depth frames. Remove invalid depth and low-confidence samples when confidence is supplied. Convert meters to millimeters. Average each pixel only over its valid observations, requiring validity in at least 60% of collected frames. For eight frames, this means five valid samples; other pixels become zero. [S1, S2]</w:t>
      </w:r>
    </w:p>
    <w:p>
      <w:r>
        <w:t>Retain the color JPEG from the lowest-motion moment of the burst. The depth transform is taken from the first depth frame. The selected RGB image may come from a later frame, so the stationary hold is essential to their correspondence.</w:t>
      </w:r>
    </w:p>
    <w:p>
      <w:r>
        <w:rPr>
          <w:b/>
        </w:rPr>
        <w:t xml:space="preserve">Timeout behavior. </w:t>
      </w:r>
      <w:r>
        <w:t>After four seconds, finish with at least three depth frames if geometry is available. Otherwise clear the burst and return to alignment. A repeated pose name replaces its earlier depth record rather than adding a duplicate.</w:t>
      </w:r>
    </w:p>
    <w:p>
      <w:pPr>
        <w:pStyle w:val="Heading2"/>
      </w:pPr>
      <w:r>
        <w:t>Photo-only station behavior</w:t>
      </w:r>
    </w:p>
    <w:p>
      <w:r>
        <w:t>Without LiDAR, count eight RGB frames and retain the lowest-motion image as key_&lt;pose&gt;. At timeout, an available selected photo is sufficient. Request a high-resolution still when supported, then advance. This branch does not create a depth pose.</w:t>
      </w:r>
    </w:p>
    <w:p>
      <w:pPr>
        <w:pStyle w:val="Source"/>
      </w:pPr>
      <w:r>
        <w:t>Algorithms: [S1] collectBurstFrame, finishBurst, finishStationPhoto, advanceFromCapturedPose, and abortBurst.</w:t>
      </w:r>
    </w:p>
    <w:p>
      <w:r>
        <w:br w:type="page"/>
      </w:r>
    </w:p>
    <w:p>
      <w:pPr>
        <w:pStyle w:val="Heading1"/>
      </w:pPr>
      <w:r>
        <w:t>Photo sweep and session contract</w:t>
      </w:r>
    </w:p>
    <w:p>
      <w:pPr>
        <w:pStyle w:val="Heading2"/>
      </w:pPr>
      <w:r>
        <w:t>Continuous sweep</w:t>
      </w:r>
    </w:p>
    <w:p>
      <w:r>
        <w:t>The operator slowly moves through overlapping views. The app attempts to lock exposure, white balance, and focus. Accepted images must pass the distance gate, a motion ceiling of 180, a Laplacian-variance sharpness floor of 8, and a minimum 4° separation from every previously accepted sweep viewpoint in combined yaw/elevation space. [S1]</w:t>
      </w:r>
    </w:p>
    <w:p>
      <w:r>
        <w:t>The sweep stores up to 180 standard JPEGs. The 39-cell progress map has 13 yaw directions and three elevation bands near −25°, 0°, and +25°. It is a coarse coverage indicator; several accepted photos may fill one cell. Reaching the photo cap prompts the operator to finish and does not automatically save.</w:t>
      </w:r>
    </w:p>
    <w:p>
      <w:r>
        <w:rPr>
          <w:b/>
        </w:rPr>
        <w:t xml:space="preserve">Optional stills. </w:t>
      </w:r>
      <w:r>
        <w:t>Photo-only mode enables a recommended high-resolution format when available. A newly filled coverage cell can trigger a still, with at least 1.5 seconds between requests and a buffer cap of 30. LiDAR mode disables this path to preserve depth/video compatibility. Actual pixel dimensions depend on the returned frame.</w:t>
      </w:r>
    </w:p>
    <w:p>
      <w:pPr>
        <w:pStyle w:val="Heading2"/>
      </w:pPr>
      <w:r>
        <w:t>Persisted data</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4" w:color="D7DFE7"/>
          <w:left w:val="single" w:sz="4" w:color="D7DFE7"/>
          <w:bottom w:val="single" w:sz="4" w:color="D7DFE7"/>
          <w:right w:val="single" w:sz="4" w:color="D7DFE7"/>
          <w:insideH w:val="single" w:sz="4" w:color="D7DFE7"/>
          <w:insideV w:val="single" w:sz="4" w:color="D7DFE7"/>
        </w:tblBorders>
      </w:tblPr>
      <w:tblGrid>
        <w:gridCol w:w="2250"/>
        <w:gridCol w:w="7110"/>
      </w:tblGrid>
      <w:tr>
        <w:trPr>
          <w:cantSplit/>
          <w:tblHeader/>
        </w:trPr>
        <w:tc>
          <w:tcPr>
            <w:tcW w:type="dxa" w:w="2250"/>
            <w:shd w:fill="F2F4F7"/>
          </w:tcPr>
          <w:p>
            <w:pPr>
              <w:pStyle w:val="TableHead"/>
            </w:pPr>
            <w:r>
              <w:t>Record</w:t>
            </w:r>
          </w:p>
        </w:tc>
        <w:tc>
          <w:tcPr>
            <w:tcW w:type="dxa" w:w="7110"/>
            <w:shd w:fill="F2F4F7"/>
          </w:tcPr>
          <w:p>
            <w:pPr>
              <w:pStyle w:val="TableHead"/>
            </w:pPr>
            <w:r>
              <w:t>Contents and convention</w:t>
            </w:r>
          </w:p>
        </w:tc>
      </w:tr>
      <w:tr>
        <w:trPr>
          <w:cantSplit/>
        </w:trPr>
        <w:tc>
          <w:tcPr>
            <w:tcW w:type="dxa" w:w="2250"/>
          </w:tcPr>
          <w:p>
            <w:pPr>
              <w:pStyle w:val="TableBody"/>
            </w:pPr>
            <w:r>
              <w:t>Depth pose</w:t>
            </w:r>
          </w:p>
        </w:tc>
        <w:tc>
          <w:tcPr>
            <w:tcW w:type="dxa" w:w="7110"/>
          </w:tcPr>
          <w:p>
            <w:pPr>
              <w:pStyle w:val="TableBody"/>
            </w:pPr>
            <w:r>
              <w:t>Name; depth_*.bin; dimensions; depth intrinsics; head-to-camera 4×4 transform; optional color JPEG and RGB intrinsics.</w:t>
            </w:r>
          </w:p>
        </w:tc>
      </w:tr>
      <w:tr>
        <w:trPr>
          <w:cantSplit/>
        </w:trPr>
        <w:tc>
          <w:tcPr>
            <w:tcW w:type="dxa" w:w="2250"/>
          </w:tcPr>
          <w:p>
            <w:pPr>
              <w:pStyle w:val="TableBody"/>
            </w:pPr>
            <w:r>
              <w:t>Depth binary</w:t>
            </w:r>
          </w:p>
        </w:tc>
        <w:tc>
          <w:tcPr>
            <w:tcW w:type="dxa" w:w="7110"/>
          </w:tcPr>
          <w:p>
            <w:pPr>
              <w:pStyle w:val="TableBody"/>
            </w:pPr>
            <w:r>
              <w:t>Row-major float32 samples in millimeters. Zero means invalid. One averaged map per guided LiDAR stop.</w:t>
            </w:r>
          </w:p>
        </w:tc>
      </w:tr>
      <w:tr>
        <w:trPr>
          <w:cantSplit/>
        </w:trPr>
        <w:tc>
          <w:tcPr>
            <w:tcW w:type="dxa" w:w="2250"/>
          </w:tcPr>
          <w:p>
            <w:pPr>
              <w:pStyle w:val="TableBody"/>
            </w:pPr>
            <w:r>
              <w:t>Color frame</w:t>
            </w:r>
          </w:p>
        </w:tc>
        <w:tc>
          <w:tcPr>
            <w:tcW w:type="dxa" w:w="7110"/>
          </w:tcPr>
          <w:p>
            <w:pPr>
              <w:pStyle w:val="TableBody"/>
            </w:pPr>
            <w:r>
              <w:t>Name; color_*.jpg; RGB dimensions and intrinsics; head-to-camera 4×4 transform. No saved depth.</w:t>
            </w:r>
          </w:p>
        </w:tc>
      </w:tr>
      <w:tr>
        <w:trPr>
          <w:cantSplit/>
        </w:trPr>
        <w:tc>
          <w:tcPr>
            <w:tcW w:type="dxa" w:w="2250"/>
          </w:tcPr>
          <w:p>
            <w:pPr>
              <w:pStyle w:val="TableBody"/>
            </w:pPr>
            <w:r>
              <w:t>Session metadata</w:t>
            </w:r>
          </w:p>
        </w:tc>
        <w:tc>
          <w:tcPr>
            <w:tcW w:type="dxa" w:w="7110"/>
          </w:tcPr>
          <w:p>
            <w:pPr>
              <w:pStyle w:val="TableBody"/>
            </w:pPr>
            <w:r>
              <w:t>format = vectra-dupe-session/1; device; timestamp; label; entered patient ID; poses and optional color_frames arrays.</w:t>
            </w:r>
          </w:p>
        </w:tc>
      </w:tr>
      <w:tr>
        <w:trPr>
          <w:cantSplit/>
        </w:trPr>
        <w:tc>
          <w:tcPr>
            <w:tcW w:type="dxa" w:w="2250"/>
          </w:tcPr>
          <w:p>
            <w:pPr>
              <w:pStyle w:val="TableBody"/>
            </w:pPr>
            <w:r>
              <w:t>Photo-only session</w:t>
            </w:r>
          </w:p>
        </w:tc>
        <w:tc>
          <w:tcPr>
            <w:tcW w:type="dxa" w:w="7110"/>
          </w:tcPr>
          <w:p>
            <w:pPr>
              <w:pStyle w:val="TableBody"/>
            </w:pPr>
            <w:r>
              <w:t>capture_kind = photo_only; no depth poses. Station photos use key_&lt;pose&gt;; sweep frames use orbit_###; stills use still_###.</w:t>
            </w:r>
          </w:p>
        </w:tc>
      </w:tr>
    </w:tbl>
    <w:p>
      <w:pPr>
        <w:pStyle w:val="Source"/>
      </w:pPr>
      <w:r>
        <w:t>Schema authority: [S4] SessionWriter.swift; parser: vectra3d/io_session.py.</w:t>
      </w:r>
    </w:p>
    <w:p>
      <w:pPr>
        <w:pStyle w:val="Heading2"/>
      </w:pPr>
      <w:r>
        <w:t>Save and upload lifecycle</w:t>
      </w:r>
    </w:p>
    <w:p>
      <w:r>
        <w:t>Finish writes the local session folder under the app’s Documents/sessions directory. The save input concatenates selected station photos, sweep photos, and retained stills. Upload from Sessions creates a server session, sends the files, triggers background processing, and polls status. Local saving does not itself upload the capture. [S4]</w:t>
      </w:r>
    </w:p>
    <w:p>
      <w:r>
        <w:br w:type="page"/>
      </w:r>
    </w:p>
    <w:p>
      <w:pPr>
        <w:pStyle w:val="Heading1"/>
      </w:pPr>
      <w:r>
        <w:t>Reconstruction and operational limits</w:t>
      </w:r>
    </w:p>
    <w:p>
      <w:pPr>
        <w:pStyle w:val="Heading2"/>
      </w:pPr>
      <w:r>
        <w:t>Depth geometry for measurement</w:t>
      </w:r>
    </w:p>
    <w:p>
      <w:r>
        <w:t>The server converts guided depth maps into point clouds, refines their alignment with iterative closest point registration (ICP), and combines them using truncated signed distance function fusion (TSDF). Front is the reference. The resulting mesh.ply is the surface used by the measurement pipeline. Color-only sweep frames never add geometry samples to ICP or TSDF. [S5, S6]</w:t>
      </w:r>
    </w:p>
    <w:p>
      <w:pPr>
        <w:pStyle w:val="Heading2"/>
      </w:pPr>
      <w:r>
        <w:t>Photographic geometry for display</w:t>
      </w:r>
    </w:p>
    <w:p>
      <w:r>
        <w:t>Apple Object Capture uses the overlapping photo set to reconstruct a textured surface. For depth sessions, facial landmark alignment places the photographic reconstruction into the depth reference. The viewer uses mesh.glb and/or mesh_textured.glb. When photo reconstruction is unavailable or rejected, depth sessions can display the fused depth surface with photo-derived color. [S5, S6, A2]</w:t>
      </w:r>
    </w:p>
    <w:p>
      <w:r>
        <w:t>Photo-only sessions follow the photographic branch and remain ineligible for volume analysis. A realistic display surface and a measurement-eligible surface are distinct outputs. Synthetic benchmark performance does not establish real-person measurement accuracy.</w:t>
      </w:r>
    </w:p>
    <w:p>
      <w:pPr>
        <w:pStyle w:val="Heading2"/>
      </w:pPr>
      <w:r>
        <w:t>Observed limitations</w:t>
      </w:r>
    </w:p>
    <w:p>
      <w:r>
        <w:rPr>
          <w:b/>
        </w:rPr>
        <w:t xml:space="preserve">Subject movement. </w:t>
      </w:r>
      <w:r>
        <w:t>The frozen reference assumes the head remains still. A near-frontal Vision check estimates displacement; above 20 mm it can show a movement hint during alignment. That drift value is not part of the acceptance gate, and profile views may not support the check. [S1, S2]</w:t>
      </w:r>
    </w:p>
    <w:p>
      <w:r>
        <w:rPr>
          <w:b/>
        </w:rPr>
        <w:t xml:space="preserve">Expression changes. </w:t>
      </w:r>
      <w:r>
        <w:t>Rear capture has no automatic neutral-expression verification. Motion between images, including expression changes, can invalidate the assumed common surface.</w:t>
      </w:r>
    </w:p>
    <w:p>
      <w:r>
        <w:rPr>
          <w:b/>
        </w:rPr>
        <w:t xml:space="preserve">High-resolution still retention. </w:t>
      </w:r>
      <w:r>
        <w:t>beginOrbit clears the still buffer. Earlier station stills can therefore be lost, while selected standard station images remain. Asynchronous still requests also need a clear completion policy at phase changes and finish. [S1]</w:t>
      </w:r>
    </w:p>
    <w:p>
      <w:r>
        <w:rPr>
          <w:b/>
        </w:rPr>
        <w:t xml:space="preserve">Tracking and alignment. </w:t>
      </w:r>
      <w:r>
        <w:t>World tracking can drift. Wide-view tolerances help the operator complete the sequence but do not guarantee intended anatomy is visible. Ear and profile windows overlap. Generic depth confidence and image sharpness checks are not anatomical coverage checks.</w:t>
      </w:r>
    </w:p>
    <w:p>
      <w:r>
        <w:rPr>
          <w:b/>
        </w:rPr>
        <w:t xml:space="preserve">Image/depth timing. </w:t>
      </w:r>
      <w:r>
        <w:t>A depth burst is averaged without motion compensation, and its first-frame transform is reused with a potentially later JPEG. Small residual movement can reduce correspondence quality.</w:t>
      </w:r>
    </w:p>
    <w:p>
      <w:pPr>
        <w:pStyle w:val="Source"/>
      </w:pPr>
      <w:r>
        <w:t>These are implementation observations and design risks. This document does not claim that field acceptance tests have passed.</w:t>
      </w:r>
    </w:p>
    <w:p>
      <w:pPr>
        <w:pStyle w:val="Source"/>
      </w:pPr>
      <w:r>
        <w:t>[A2] Apple, PhotogrammetrySession: https://developer.apple.com/documentation/realitykit/photogrammetrysession</w:t>
      </w:r>
    </w:p>
    <w:p>
      <w:r>
        <w:br w:type="page"/>
      </w:r>
    </w:p>
    <w:p>
      <w:pPr>
        <w:pStyle w:val="Heading1"/>
      </w:pPr>
      <w:r>
        <w:t>Proposed follow-up and verification</w:t>
      </w:r>
    </w:p>
    <w:p>
      <w:pPr>
        <w:pStyle w:val="Heading2"/>
      </w:pPr>
      <w:r>
        <w:t>Proposed engineering work</w:t>
      </w:r>
    </w:p>
    <w:p>
      <w:r>
        <w:t>The following changes are recommendations for a later implementation. They are not included in the current behavior described above.</w:t>
      </w:r>
    </w:p>
    <w:p>
      <w:pPr>
        <w:pStyle w:val="ListBullet"/>
      </w:pPr>
      <w:r>
        <w:t>Make excessive subject drift and invalid tracking explicit capture blockers; define when an operator must restart the head reference.</w:t>
      </w:r>
    </w:p>
    <w:p>
      <w:pPr>
        <w:pStyle w:val="ListBullet"/>
      </w:pPr>
      <w:r>
        <w:t>Retain station and sweep stills in separate buffers, track pending requests, and settle or cancel them before final session writing.</w:t>
      </w:r>
    </w:p>
    <w:p>
      <w:pPr>
        <w:pStyle w:val="ListBullet"/>
      </w:pPr>
      <w:r>
        <w:t>Persist capture diagnostics: actual pose angles, burst count, depth validity, image sharpness, tracking quality, and rejected-frame reasons.</w:t>
      </w:r>
    </w:p>
    <w:p>
      <w:pPr>
        <w:pStyle w:val="ListBullet"/>
      </w:pPr>
      <w:r>
        <w:t>Define minimum useful photo overlap and coverage criteria; verify whether the near-ear stations add distinct lateral surface coverage.</w:t>
      </w:r>
    </w:p>
    <w:p>
      <w:pPr>
        <w:pStyle w:val="Heading2"/>
      </w:pPr>
      <w:r>
        <w:t>Verification plan</w:t>
      </w:r>
    </w:p>
    <w:tbl>
      <w:tblPr>
        <w:tblW w:type="dxa" w:w="9360"/>
        <w:tblLayout w:type="fixed"/>
        <w:tblLook w:firstColumn="1" w:firstRow="1" w:lastColumn="0" w:lastRow="0" w:noHBand="0" w:noVBand="1" w:val="04A0"/>
        <w:tblInd w:type="dxa" w:w="120"/>
        <w:tblCellMar>
          <w:top w:w="80" w:type="dxa"/>
          <w:bottom w:w="80" w:type="dxa"/>
          <w:start w:w="120" w:type="dxa"/>
          <w:end w:w="120" w:type="dxa"/>
        </w:tblCellMar>
        <w:tblBorders>
          <w:top w:val="single" w:sz="4" w:color="D7DFE7"/>
          <w:left w:val="single" w:sz="4" w:color="D7DFE7"/>
          <w:bottom w:val="single" w:sz="4" w:color="D7DFE7"/>
          <w:right w:val="single" w:sz="4" w:color="D7DFE7"/>
          <w:insideH w:val="single" w:sz="4" w:color="D7DFE7"/>
          <w:insideV w:val="single" w:sz="4" w:color="D7DFE7"/>
        </w:tblBorders>
      </w:tblPr>
      <w:tblGrid>
        <w:gridCol w:w="2600"/>
        <w:gridCol w:w="6760"/>
      </w:tblGrid>
      <w:tr>
        <w:trPr>
          <w:cantSplit/>
          <w:tblHeader/>
        </w:trPr>
        <w:tc>
          <w:tcPr>
            <w:tcW w:type="dxa" w:w="2600"/>
            <w:shd w:fill="F2F4F7"/>
          </w:tcPr>
          <w:p>
            <w:pPr>
              <w:pStyle w:val="TableHead"/>
            </w:pPr>
            <w:r>
              <w:t>Check</w:t>
            </w:r>
          </w:p>
        </w:tc>
        <w:tc>
          <w:tcPr>
            <w:tcW w:type="dxa" w:w="6760"/>
            <w:shd w:fill="F2F4F7"/>
          </w:tcPr>
          <w:p>
            <w:pPr>
              <w:pStyle w:val="TableHead"/>
            </w:pPr>
            <w:r>
              <w:t>Expected evidence</w:t>
            </w:r>
          </w:p>
        </w:tc>
      </w:tr>
      <w:tr>
        <w:trPr>
          <w:cantSplit/>
        </w:trPr>
        <w:tc>
          <w:tcPr>
            <w:tcW w:type="dxa" w:w="2600"/>
          </w:tcPr>
          <w:p>
            <w:pPr>
              <w:pStyle w:val="TableBody"/>
            </w:pPr>
            <w:r>
              <w:t>Pose order and signs</w:t>
            </w:r>
          </w:p>
        </w:tc>
        <w:tc>
          <w:tcPr>
            <w:tcW w:type="dxa" w:w="6760"/>
          </w:tcPr>
          <w:p>
            <w:pPr>
              <w:pStyle w:val="TableBody"/>
            </w:pPr>
            <w:r>
              <w:t>Front, L ½, Left, R ½, Right, Brow, Jaw, Ear L, Ear R; phone movement matches subject-relative hints.</w:t>
            </w:r>
          </w:p>
        </w:tc>
      </w:tr>
      <w:tr>
        <w:trPr>
          <w:cantSplit/>
        </w:trPr>
        <w:tc>
          <w:tcPr>
            <w:tcW w:type="dxa" w:w="2600"/>
          </w:tcPr>
          <w:p>
            <w:pPr>
              <w:pStyle w:val="TableBody"/>
            </w:pPr>
            <w:r>
              <w:t>Depth reduction</w:t>
            </w:r>
          </w:p>
        </w:tc>
        <w:tc>
          <w:tcPr>
            <w:tcW w:type="dxa" w:w="6760"/>
          </w:tcPr>
          <w:p>
            <w:pPr>
              <w:pStyle w:val="TableBody"/>
            </w:pPr>
            <w:r>
              <w:t>Eight-frame input yields one map; low-confidence values are rejected; five-of-eight validity is enforced; timeout retries correctly.</w:t>
            </w:r>
          </w:p>
        </w:tc>
      </w:tr>
      <w:tr>
        <w:trPr>
          <w:cantSplit/>
        </w:trPr>
        <w:tc>
          <w:tcPr>
            <w:tcW w:type="dxa" w:w="2600"/>
          </w:tcPr>
          <w:p>
            <w:pPr>
              <w:pStyle w:val="TableBody"/>
            </w:pPr>
            <w:r>
              <w:t>Photo-only contract</w:t>
            </w:r>
          </w:p>
        </w:tc>
        <w:tc>
          <w:tcPr>
            <w:tcW w:type="dxa" w:w="6760"/>
          </w:tcPr>
          <w:p>
            <w:pPr>
              <w:pStyle w:val="TableBody"/>
            </w:pPr>
            <w:r>
              <w:t>No depth files or poses; guided and sweep JPEGs have matching dimensions, calibration, and transforms.</w:t>
            </w:r>
          </w:p>
        </w:tc>
      </w:tr>
      <w:tr>
        <w:trPr>
          <w:cantSplit/>
        </w:trPr>
        <w:tc>
          <w:tcPr>
            <w:tcW w:type="dxa" w:w="2600"/>
          </w:tcPr>
          <w:p>
            <w:pPr>
              <w:pStyle w:val="TableBody"/>
            </w:pPr>
            <w:r>
              <w:t>Sweep diversity and finish</w:t>
            </w:r>
          </w:p>
        </w:tc>
        <w:tc>
          <w:tcPr>
            <w:tcW w:type="dxa" w:w="6760"/>
          </w:tcPr>
          <w:p>
            <w:pPr>
              <w:pStyle w:val="TableBody"/>
            </w:pPr>
            <w:r>
              <w:t>4° spacing and the 180-photo cap hold; cell count differs from photo count; saving requires Finish.</w:t>
            </w:r>
          </w:p>
        </w:tc>
      </w:tr>
      <w:tr>
        <w:trPr>
          <w:cantSplit/>
        </w:trPr>
        <w:tc>
          <w:tcPr>
            <w:tcW w:type="dxa" w:w="2600"/>
          </w:tcPr>
          <w:p>
            <w:pPr>
              <w:pStyle w:val="TableBody"/>
            </w:pPr>
            <w:r>
              <w:t>Reconstruction separation</w:t>
            </w:r>
          </w:p>
        </w:tc>
        <w:tc>
          <w:tcPr>
            <w:tcW w:type="dxa" w:w="6760"/>
          </w:tcPr>
          <w:p>
            <w:pPr>
              <w:pStyle w:val="TableBody"/>
            </w:pPr>
            <w:r>
              <w:t>Depth mesh drives measurement; Object Capture drives display; photo-only volume analysis is rejected.</w:t>
            </w:r>
          </w:p>
        </w:tc>
      </w:tr>
      <w:tr>
        <w:trPr>
          <w:cantSplit/>
        </w:trPr>
        <w:tc>
          <w:tcPr>
            <w:tcW w:type="dxa" w:w="2600"/>
          </w:tcPr>
          <w:p>
            <w:pPr>
              <w:pStyle w:val="TableBody"/>
            </w:pPr>
            <w:r>
              <w:t>Field repeatability</w:t>
            </w:r>
          </w:p>
        </w:tc>
        <w:tc>
          <w:tcPr>
            <w:tcW w:type="dxa" w:w="6760"/>
          </w:tcPr>
          <w:p>
            <w:pPr>
              <w:pStyle w:val="TableBody"/>
            </w:pPr>
            <w:r>
              <w:t>Repeated neutral captures and an independent reference establish real-face error and acceptance limits. Results and limits remain to be defined.</w:t>
            </w:r>
          </w:p>
        </w:tc>
      </w:tr>
    </w:tbl>
    <w:p>
      <w:pPr>
        <w:pStyle w:val="Source"/>
      </w:pPr>
      <w:r>
        <w:t>Planned checks only. Review on physical LiDAR and non-LiDAR devices; simulator output cannot validate sensor behavior.</w:t>
      </w:r>
    </w:p>
    <w:p>
      <w:pPr>
        <w:pStyle w:val="Heading2"/>
      </w:pPr>
      <w:r>
        <w:t>Source traceability</w:t>
      </w:r>
    </w:p>
    <w:p>
      <w:pPr>
        <w:pStyle w:val="Source"/>
      </w:pPr>
      <w:r>
        <w:t>[S1] ios-app/Sources/CaptureController.swift: Pose, capture gates, bursts, orbit harvesting, stills, saveSession.</w:t>
      </w:r>
    </w:p>
    <w:p>
      <w:pPr>
        <w:pStyle w:val="Source"/>
      </w:pPr>
      <w:r>
        <w:t>[S2] ios-app/Sources/RearCaptureBackend.swift and CaptureBackend.swift: camera mode, Vision, depth filtering, coordinates.</w:t>
      </w:r>
    </w:p>
    <w:p>
      <w:pPr>
        <w:pStyle w:val="Source"/>
      </w:pPr>
      <w:r>
        <w:t>[S3] ios-app/Sources/CaptureView.swift: labels, coverage display, and finish action.</w:t>
      </w:r>
    </w:p>
    <w:p>
      <w:pPr>
        <w:pStyle w:val="Source"/>
      </w:pPr>
      <w:r>
        <w:t>[S4] ios-app/Sources/SessionWriter.swift and Uploader.swift; vectra3d/io_session.py: persistence and handoff.</w:t>
      </w:r>
    </w:p>
    <w:p>
      <w:pPr>
        <w:pStyle w:val="Source"/>
      </w:pPr>
      <w:r>
        <w:t>[S5] server/processing.py: measurement/display separation, fallback, and photo-only processing.</w:t>
      </w:r>
    </w:p>
    <w:p>
      <w:pPr>
        <w:pStyle w:val="Source"/>
      </w:pPr>
      <w:r>
        <w:t>[S6] vectra3d/fuse.py and photogrammetry.py: depth fusion and photographic reconstruction.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VECTRA CAPTURE  /  SYSTEM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1">
    <w:lvl w:ilvl="0">
      <w:start w:val="1"/>
      <w:numFmt w:val="bullet"/>
      <w:lvlText w:val="•"/>
      <w:lvlJc w:val="left"/>
      <w:pPr>
        <w:tabs>
          <w:tab w:val="num" w:pos="720"/>
        </w:tabs>
        <w:ind w:left="720" w:hanging="360"/>
      </w:pPr>
    </w:lvl>
  </w:abstract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eastAsia="Calibri" w:cs="Calibri"/>
      <w:b w:val="0"/>
      <w:i w:val="0"/>
      <w:color w:val="202B36"/>
      <w:sz w:val="22"/>
    </w:rPr>
  </w:style>
  <w:style w:type="paragraph" w:styleId="Header">
    <w:name w:val="header"/>
    <w:basedOn w:val="Normal"/>
    <w:link w:val="HeaderChar"/>
    <w:uiPriority w:val="99"/>
    <w:unhideWhenUsed/>
    <w:rsid w:val="00E618BF"/>
    <w:pPr>
      <w:widowControl/>
      <w:tabs>
        <w:tab w:val="center" w:pos="4680"/>
        <w:tab w:val="right" w:pos="9360"/>
      </w:tabs>
      <w:spacing w:after="0" w:line="264" w:lineRule="auto" w:before="0"/>
    </w:pPr>
    <w:rPr>
      <w:rFonts w:ascii="Calibri" w:hAnsi="Calibri" w:eastAsia="Calibri" w:cs="Calibri"/>
      <w:b w:val="0"/>
      <w:i w:val="0"/>
      <w:color w:val="526172"/>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64" w:lineRule="auto" w:before="0"/>
    </w:pPr>
    <w:rPr>
      <w:rFonts w:ascii="Calibri" w:hAnsi="Calibri" w:eastAsia="Calibri" w:cs="Calibri"/>
      <w:b w:val="0"/>
      <w:i w:val="0"/>
      <w:color w:val="526172"/>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Theme="majorHAnsi" w:eastAsiaTheme="majorEastAsia" w:hAnsiTheme="majorHAnsi" w:cstheme="majorBidi" w:ascii="Calibri" w:hAnsi="Calibri" w:eastAsia="Calibri" w:cs="Calibri"/>
      <w:b/>
      <w:bCs/>
      <w:i w:val="0"/>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Theme="majorHAnsi" w:eastAsiaTheme="majorEastAsia" w:hAnsiTheme="majorHAnsi" w:cstheme="majorBidi" w:ascii="Calibri" w:hAnsi="Calibri" w:eastAsia="Calibri" w:cs="Calibri"/>
      <w:b/>
      <w:bCs/>
      <w:i w:val="0"/>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Theme="majorHAnsi" w:eastAsiaTheme="majorEastAsia" w:hAnsiTheme="majorHAnsi" w:cstheme="majorBidi" w:ascii="Calibri" w:hAnsi="Calibri" w:eastAsia="Calibri" w:cs="Calibri"/>
      <w:b/>
      <w:bCs/>
      <w:i w:val="0"/>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64" w:lineRule="auto" w:before="0"/>
      <w:contextualSpacing/>
    </w:pPr>
    <w:rPr>
      <w:rFonts w:asciiTheme="majorHAnsi" w:eastAsiaTheme="majorEastAsia" w:hAnsiTheme="majorHAnsi" w:cstheme="majorBidi" w:ascii="Calibri" w:hAnsi="Calibri" w:eastAsia="Calibri" w:cs="Calibri"/>
      <w:b/>
      <w:i w:val="0"/>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64" w:lineRule="auto"/>
    </w:pPr>
    <w:rPr>
      <w:rFonts w:asciiTheme="majorHAnsi" w:eastAsiaTheme="majorEastAsia" w:hAnsiTheme="majorHAnsi" w:cstheme="majorBidi" w:ascii="Calibri" w:hAnsi="Calibri" w:eastAsia="Calibri" w:cs="Calibri"/>
      <w:b w:val="0"/>
      <w:i w:val="0"/>
      <w:iCs/>
      <w:color w:val="5261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160" w:line="280" w:lineRule="auto"/>
      <w:contextualSpacing/>
      <w:numPr>
        <w:ilvl w:val="0"/>
        <w:numId w:val="91"/>
      </w:numPr>
    </w:pPr>
    <w:rPr>
      <w:rFonts w:ascii="Calibri" w:hAnsi="Calibri" w:eastAsia="Calibri" w:cs="Calibri"/>
      <w:b w:val="0"/>
      <w:i w:val="0"/>
      <w:color w:val="202B36"/>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Body"/>
    <w:pPr>
      <w:widowControl/>
      <w:spacing w:before="0" w:after="60" w:line="264" w:lineRule="auto"/>
    </w:pPr>
    <w:rPr>
      <w:rFonts w:ascii="Calibri" w:hAnsi="Calibri" w:eastAsia="Calibri" w:cs="Calibri"/>
      <w:b w:val="0"/>
      <w:i w:val="0"/>
      <w:color w:val="202B36"/>
      <w:sz w:val="19"/>
    </w:rPr>
  </w:style>
  <w:style w:type="paragraph" w:customStyle="1" w:styleId="TableHead">
    <w:name w:val="TableHead"/>
    <w:pPr>
      <w:widowControl/>
      <w:spacing w:before="0" w:after="60" w:line="264" w:lineRule="auto"/>
    </w:pPr>
    <w:rPr>
      <w:rFonts w:ascii="Calibri" w:hAnsi="Calibri" w:eastAsia="Calibri" w:cs="Calibri"/>
      <w:b/>
      <w:i w:val="0"/>
      <w:color w:val="202B36"/>
      <w:sz w:val="19"/>
    </w:rPr>
  </w:style>
  <w:style w:type="paragraph" w:customStyle="1" w:styleId="Source">
    <w:name w:val="Source"/>
    <w:pPr>
      <w:widowControl/>
      <w:spacing w:before="80" w:after="80" w:line="264" w:lineRule="auto"/>
    </w:pPr>
    <w:rPr>
      <w:rFonts w:ascii="Calibri" w:hAnsi="Calibri" w:eastAsia="Calibri" w:cs="Calibri"/>
      <w:b w:val="0"/>
      <w:i w:val="0"/>
      <w:color w:val="526172"/>
      <w:sz w:val="18"/>
    </w:rPr>
  </w:style>
  <w:style w:type="paragraph" w:customStyle="1" w:styleId="Metadata">
    <w:name w:val="Metadata"/>
    <w:pPr>
      <w:widowControl/>
      <w:spacing w:before="0" w:after="60" w:line="264" w:lineRule="auto"/>
    </w:pPr>
    <w:rPr>
      <w:rFonts w:ascii="Calibri" w:hAnsi="Calibri" w:eastAsia="Calibri" w:cs="Calibri"/>
      <w:b w:val="0"/>
      <w:i w:val="0"/>
      <w:color w:val="202B3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Face Capture System Design</dc:title>
  <dc:subject>Current implementation, constraints, and proposed verification</dc:subject>
  <dc:creator/>
  <cp:keywords>face capture, ARKit, LiDAR, photogrammetry, system design</cp:keywords>
  <dc:description>generated by python-docx</dc:description>
  <cp:lastModifiedBy/>
  <cp:revision>1</cp:revision>
  <dcterms:created xsi:type="dcterms:W3CDTF">2013-12-23T23:15:00Z</dcterms:created>
  <dcterms:modified xsi:type="dcterms:W3CDTF">2013-12-23T23:15:00Z</dcterms:modified>
  <cp:category/>
</cp:coreProperties>
</file>