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宋体" w:hAnsi="宋体" w:eastAsia="宋体"/>
          <w:b/>
          <w:sz w:val="26"/>
        </w:rPr>
        <w:t>上南实验小学  2025学年第二学期  语文  学科调研质量分析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134"/>
            <w:gridSpan w:val="1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调研日期：2026年6月23日          年级：五年级          执教人：聂文怡</w:t>
            </w:r>
          </w:p>
        </w:tc>
      </w:tr>
      <w:tr>
        <w:tc>
          <w:tcPr>
            <w:tcW w:type="dxa" w:w="1587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一、基本情况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应考</w:t>
              <w:br/>
              <w:t>人数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参考</w:t>
              <w:br/>
              <w:t>人数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优秀人数</w:t>
              <w:br/>
              <w:t>（A等）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比例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良好人数</w:t>
              <w:br/>
              <w:t>（B等）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比例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须努力</w:t>
              <w:br/>
              <w:t>（C等）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合格率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优良率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五年级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48%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41%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89%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48%</w:t>
            </w:r>
          </w:p>
        </w:tc>
      </w:tr>
      <w:tr>
        <w:tc>
          <w:tcPr>
            <w:tcW w:type="dxa" w:w="1134"/>
            <w:gridSpan w:val="10"/>
            <w:shd w:val="clear" w:color="auto" w:fill="EBEBE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二、卷面分析（删去各题型合格率/优秀率，保留题型分析）</w:t>
            </w:r>
          </w:p>
        </w:tc>
      </w:tr>
      <w:tr>
        <w:tc>
          <w:tcPr>
            <w:tcW w:type="dxa" w:w="1587"/>
            <w:shd w:val="clear" w:color="auto" w:fill="EBEBE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1020"/>
            <w:gridSpan w:val="4"/>
            <w:shd w:val="clear" w:color="auto" w:fill="EBEBE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错题举例</w:t>
            </w:r>
          </w:p>
        </w:tc>
        <w:tc>
          <w:tcPr>
            <w:tcW w:type="dxa" w:w="1417"/>
            <w:gridSpan w:val="3"/>
            <w:shd w:val="clear" w:color="auto" w:fill="EBEBE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原因分析</w:t>
            </w:r>
          </w:p>
        </w:tc>
        <w:tc>
          <w:tcPr>
            <w:tcW w:type="dxa" w:w="1134"/>
            <w:gridSpan w:val="2"/>
            <w:shd w:val="clear" w:color="auto" w:fill="EBEBE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rPr>
          <w:trHeight w:val="1200"/>
        </w:trPr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积累与运用</w:t>
              <w:br/>
              <w:t>（一、写词语</w:t>
              <w:br/>
              <w:t>二、选择题）</w:t>
            </w:r>
          </w:p>
        </w:tc>
        <w:tc>
          <w:tcPr>
            <w:tcW w:type="dxa" w:w="1020"/>
            <w:gridSpan w:val="4"/>
          </w:tcPr>
          <w:p/>
        </w:tc>
        <w:tc>
          <w:tcPr>
            <w:tcW w:type="dxa" w:w="1417"/>
            <w:gridSpan w:val="3"/>
          </w:tcPr>
          <w:p/>
        </w:tc>
        <w:tc>
          <w:tcPr>
            <w:tcW w:type="dxa" w:w="1134"/>
            <w:gridSpan w:val="2"/>
          </w:tcPr>
          <w:p/>
        </w:tc>
      </w:tr>
      <w:tr>
        <w:trPr>
          <w:trHeight w:val="1200"/>
        </w:trPr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阅读与理解</w:t>
              <w:br/>
              <w:t>（非连续性文本</w:t>
              <w:br/>
              <w:t>文言文阅读）</w:t>
            </w:r>
          </w:p>
        </w:tc>
        <w:tc>
          <w:tcPr>
            <w:tcW w:type="dxa" w:w="1020"/>
            <w:gridSpan w:val="4"/>
          </w:tcPr>
          <w:p/>
        </w:tc>
        <w:tc>
          <w:tcPr>
            <w:tcW w:type="dxa" w:w="1417"/>
            <w:gridSpan w:val="3"/>
          </w:tcPr>
          <w:p/>
        </w:tc>
        <w:tc>
          <w:tcPr>
            <w:tcW w:type="dxa" w:w="1134"/>
            <w:gridSpan w:val="2"/>
          </w:tcPr>
          <w:p/>
        </w:tc>
      </w:tr>
      <w:tr>
        <w:trPr>
          <w:trHeight w:val="1200"/>
        </w:trPr>
        <w:tc>
          <w:tcPr>
            <w:tcW w:type="dxa" w:w="158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表达与写字</w:t>
              <w:br/>
              <w:t>（习作）</w:t>
            </w:r>
          </w:p>
        </w:tc>
        <w:tc>
          <w:tcPr>
            <w:tcW w:type="dxa" w:w="1020"/>
            <w:gridSpan w:val="4"/>
          </w:tcPr>
          <w:p/>
        </w:tc>
        <w:tc>
          <w:tcPr>
            <w:tcW w:type="dxa" w:w="1417"/>
            <w:gridSpan w:val="3"/>
          </w:tcPr>
          <w:p/>
        </w:tc>
        <w:tc>
          <w:tcPr>
            <w:tcW w:type="dxa" w:w="1134"/>
            <w:gridSpan w:val="2"/>
          </w:tcPr>
          <w:p/>
        </w:tc>
      </w:tr>
      <w:tr>
        <w:tc>
          <w:tcPr>
            <w:tcW w:type="dxa" w:w="1134"/>
            <w:gridSpan w:val="10"/>
            <w:shd w:val="clear" w:color="auto" w:fill="EBEBEB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三、得失分析</w:t>
            </w:r>
          </w:p>
        </w:tc>
      </w:tr>
      <w:tr>
        <w:trPr>
          <w:trHeight w:val="1200"/>
        </w:trPr>
        <w:tc>
          <w:tcPr>
            <w:tcW w:type="dxa" w:w="1020"/>
            <w:gridSpan w:val="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成功之处</w:t>
            </w:r>
          </w:p>
        </w:tc>
        <w:tc>
          <w:tcPr>
            <w:tcW w:type="dxa" w:w="1134"/>
            <w:gridSpan w:val="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rPr>
          <w:trHeight w:val="1200"/>
        </w:trPr>
        <w:tc>
          <w:tcPr>
            <w:tcW w:type="dxa" w:w="1020"/>
            <w:gridSpan w:val="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需要改进</w:t>
              <w:br/>
              <w:t>的地方</w:t>
            </w:r>
          </w:p>
        </w:tc>
        <w:tc>
          <w:tcPr>
            <w:tcW w:type="dxa" w:w="1134"/>
            <w:gridSpan w:val="8"/>
          </w:tcPr>
          <w:p/>
        </w:tc>
      </w:tr>
      <w:tr>
        <w:trPr>
          <w:trHeight w:val="1000"/>
        </w:trPr>
        <w:tc>
          <w:tcPr>
            <w:tcW w:type="dxa" w:w="1020"/>
            <w:gridSpan w:val="2"/>
            <w:vMerge w:val="restart"/>
            <w:shd w:val="clear" w:color="auto" w:fill="F2F2F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下阶段</w:t>
              <w:br/>
              <w:t>教学改进</w:t>
              <w:br/>
              <w:t>措施</w:t>
            </w:r>
          </w:p>
        </w:tc>
        <w:tc>
          <w:tcPr>
            <w:tcW w:type="dxa" w:w="1134"/>
            <w:gridSpan w:val="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</w:t>
            </w:r>
          </w:p>
        </w:tc>
      </w:tr>
      <w:tr>
        <w:trPr>
          <w:trHeight w:val="1000"/>
        </w:trPr>
        <w:tc>
          <w:tcPr>
            <w:tcW w:type="dxa" w:w="3028"/>
            <w:gridSpan w:val="2"/>
            <w:vMerge/>
          </w:tcPr>
          <w:p/>
        </w:tc>
        <w:tc>
          <w:tcPr>
            <w:tcW w:type="dxa" w:w="1134"/>
            <w:gridSpan w:val="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</w:t>
            </w:r>
          </w:p>
        </w:tc>
      </w:tr>
      <w:tr>
        <w:trPr>
          <w:trHeight w:val="1000"/>
        </w:trPr>
        <w:tc>
          <w:tcPr>
            <w:tcW w:type="dxa" w:w="3028"/>
            <w:gridSpan w:val="2"/>
            <w:vMerge/>
          </w:tcPr>
          <w:p/>
        </w:tc>
        <w:tc>
          <w:tcPr>
            <w:tcW w:type="dxa" w:w="1134"/>
            <w:gridSpan w:val="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</w:t>
            </w:r>
          </w:p>
        </w:tc>
      </w:tr>
    </w:tbl>
    <w:sectPr w:rsidR="00FC693F" w:rsidRPr="0006063C" w:rsidSect="00034616">
      <w:pgSz w:w="16838" w:h="11906" w:orient="landscape"/>
      <w:pgMar w:top="102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