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ACF9">
      <w:pPr>
        <w:spacing w:before="600" w:after="160" w:line="300" w:lineRule="auto"/>
        <w:jc w:val="center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6"/>
        </w:rPr>
        <w:t>低海拔山地徒步安全教育视觉材料的内容分析与传播策略研究</w:t>
      </w:r>
    </w:p>
    <w:p w14:paraId="6E309753">
      <w:pPr>
        <w:spacing w:before="0" w:after="360" w:line="300" w:lineRule="auto"/>
        <w:jc w:val="center"/>
        <w:rPr>
          <w:color w:val="auto"/>
        </w:rPr>
      </w:pPr>
      <w:r>
        <w:rPr>
          <w:rFonts w:ascii="Times New Roman" w:hAnsi="Times New Roman" w:eastAsia="宋体"/>
          <w:color w:val="auto"/>
          <w:sz w:val="22"/>
        </w:rPr>
        <w:t xml:space="preserve">研究方向：山地户外安全教育视觉传播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143"/>
      </w:tblGrid>
      <w:tr w14:paraId="4C642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5FFB9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2"/>
              </w:rPr>
              <w:t>拟定题目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C209A">
            <w:pPr>
              <w:spacing w:before="0" w:after="0" w:line="312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2"/>
              </w:rPr>
              <w:t>低海拔山地徒步安全教育视觉材料的内容分析与传播策略研究</w:t>
            </w:r>
          </w:p>
        </w:tc>
      </w:tr>
      <w:tr w14:paraId="4434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B7DDE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2"/>
              </w:rPr>
              <w:t>研究对象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77F7F">
            <w:pPr>
              <w:spacing w:before="0" w:after="0" w:line="312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2"/>
              </w:rPr>
              <w:t>公开可获得的低海拔山地徒步安全教育视觉材料</w:t>
            </w:r>
          </w:p>
        </w:tc>
      </w:tr>
      <w:tr w14:paraId="1665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78A3A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2"/>
              </w:rPr>
              <w:t>研究方法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6E238">
            <w:pPr>
              <w:spacing w:before="0" w:after="0" w:line="312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2"/>
              </w:rPr>
              <w:t>文献分析、典型视觉材料内容分析、视觉符号与信息设计分析、策略框架建构</w:t>
            </w:r>
          </w:p>
        </w:tc>
      </w:tr>
      <w:tr w14:paraId="67FA8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F1100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2"/>
              </w:rPr>
              <w:t>使用场景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BB8CB">
            <w:pPr>
              <w:spacing w:before="0" w:after="0" w:line="312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2"/>
              </w:rPr>
              <w:t>面向社区安全教育应用场景，但不将样本来源限定为社区发布材料</w:t>
            </w:r>
          </w:p>
        </w:tc>
      </w:tr>
    </w:tbl>
    <w:p w14:paraId="11CD3158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一、选题背景与问题提出</w:t>
      </w:r>
    </w:p>
    <w:p w14:paraId="0D187B37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前期阅读户外运动风险识别、户外安全教育、社区安全教育、安全标识和视觉传播相关文献</w:t>
      </w:r>
      <w:r>
        <w:rPr>
          <w:rFonts w:hint="eastAsia"/>
          <w:color w:val="auto"/>
          <w:sz w:val="24"/>
          <w:lang w:eastAsia="zh-CN"/>
        </w:rPr>
        <w:t>，</w:t>
      </w:r>
      <w:r>
        <w:rPr>
          <w:rFonts w:hint="eastAsia"/>
          <w:color w:val="auto"/>
          <w:sz w:val="24"/>
          <w:lang w:val="en-US" w:eastAsia="zh-CN"/>
        </w:rPr>
        <w:t>后来又在</w:t>
      </w:r>
      <w:r>
        <w:rPr>
          <w:rFonts w:ascii="Times New Roman" w:hAnsi="Times New Roman" w:eastAsia="宋体"/>
          <w:color w:val="auto"/>
          <w:sz w:val="24"/>
        </w:rPr>
        <w:t>网上整理了很多山地户外安全教育相关视觉材料，包括海报、图卡、长图、清单、景区提示、报道型图文和国外公共机构的徒步安全页面。看完这些材料后，我的反思是：问题可能不只是“有没有安全教育”，而是安全内容进入视觉材料之后，是否真的被组织成了公众能看懂、能判断、能照着做的信息。</w:t>
      </w:r>
    </w:p>
    <w:p w14:paraId="55FA3DF6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很多材料都会写“注意天气”“规划路线”“准备装备”“不要进入未开放区域”，但这些提醒经常停在并列条目层面。它们能让人知道“有风险”，却不一定能帮助人判断：什么情况下应该取消出行，什么时候必须下撤，迷路以后先做什么，受伤以后怎么处理，求救时如何描述位置。因此，本文更关注安全内容和信息传播之间的关系：安全知识被视觉材料选择了什么、弱化了什么、排序成什么样，又通过什么视觉方式被转译出来。</w:t>
      </w:r>
    </w:p>
    <w:p w14:paraId="144EAA63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二、拟定题目与研究定位</w:t>
      </w:r>
    </w:p>
    <w:p w14:paraId="72C85FF5">
      <w:pPr>
        <w:spacing w:before="0" w:after="80" w:line="360" w:lineRule="auto"/>
        <w:ind w:firstLine="480"/>
        <w:rPr>
          <w:rFonts w:ascii="Times New Roman" w:hAnsi="Times New Roman" w:eastAsia="宋体"/>
          <w:color w:val="auto"/>
          <w:sz w:val="24"/>
        </w:rPr>
      </w:pPr>
      <w:r>
        <w:rPr>
          <w:rFonts w:ascii="Times New Roman" w:hAnsi="Times New Roman" w:eastAsia="宋体"/>
          <w:color w:val="auto"/>
          <w:sz w:val="24"/>
        </w:rPr>
        <w:t>目前暂定题目为“低海拔山地徒步安全教育视觉材料的内容分析与传播策略研究”。原因是“社区”目前更多是应用场景，而不是样本来源。如果题目直接写“社区户外安全教育”，容易让人误以为样本全部来自社区发布材料。实际材料主要来自应急、消防、文旅、天气服务、政府网站、国家公园和公共机构等公开平台。</w:t>
      </w:r>
    </w:p>
    <w:p w14:paraId="767383CA">
      <w:pPr>
        <w:spacing w:before="0" w:after="80" w:line="360" w:lineRule="auto"/>
        <w:ind w:firstLine="480"/>
        <w:rPr>
          <w:rFonts w:hint="eastAsia" w:eastAsia="宋体"/>
          <w:color w:val="auto"/>
          <w:lang w:eastAsia="zh-CN"/>
        </w:rPr>
      </w:pPr>
      <w:r>
        <w:rPr>
          <w:rFonts w:ascii="Times New Roman" w:hAnsi="Times New Roman" w:eastAsia="宋体"/>
          <w:color w:val="auto"/>
          <w:sz w:val="24"/>
        </w:rPr>
        <w:t>不研究完整的户外运动风险管理体系，也不测量居民安全意识，而是研究视觉材料如何组织、呈现和转译山地徒步风险知识。重点</w:t>
      </w:r>
      <w:r>
        <w:rPr>
          <w:rFonts w:hint="eastAsia"/>
          <w:color w:val="auto"/>
          <w:sz w:val="24"/>
          <w:lang w:val="en-US" w:eastAsia="zh-CN"/>
        </w:rPr>
        <w:t>倾向于</w:t>
      </w:r>
      <w:r>
        <w:rPr>
          <w:rFonts w:ascii="Times New Roman" w:hAnsi="Times New Roman" w:eastAsia="宋体"/>
          <w:color w:val="auto"/>
          <w:sz w:val="24"/>
        </w:rPr>
        <w:t>分析视觉材料本身的内容结构和传播条件</w:t>
      </w:r>
      <w:r>
        <w:rPr>
          <w:rFonts w:hint="eastAsia"/>
          <w:color w:val="auto"/>
          <w:sz w:val="24"/>
          <w:lang w:eastAsia="zh-CN"/>
        </w:rPr>
        <w:t>，</w:t>
      </w:r>
      <w:r>
        <w:rPr>
          <w:rFonts w:hint="eastAsia"/>
          <w:color w:val="auto"/>
          <w:sz w:val="24"/>
          <w:lang w:val="en-US" w:eastAsia="zh-CN"/>
        </w:rPr>
        <w:t>而</w:t>
      </w:r>
      <w:r>
        <w:rPr>
          <w:rFonts w:ascii="Times New Roman" w:hAnsi="Times New Roman" w:eastAsia="宋体"/>
          <w:color w:val="auto"/>
          <w:sz w:val="24"/>
        </w:rPr>
        <w:t>不是证明传播效果</w:t>
      </w:r>
      <w:r>
        <w:rPr>
          <w:rFonts w:hint="eastAsia"/>
          <w:color w:val="auto"/>
          <w:sz w:val="24"/>
          <w:lang w:eastAsia="zh-CN"/>
        </w:rPr>
        <w:t>。</w:t>
      </w:r>
    </w:p>
    <w:p w14:paraId="4F807D91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三、研究对象与材料基础</w:t>
      </w:r>
    </w:p>
    <w:p w14:paraId="626B073F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研究对象拟定为公开可获得的低海拔山地徒步安全教育视觉材料。</w:t>
      </w:r>
      <w:r>
        <w:rPr>
          <w:rFonts w:ascii="Times New Roman" w:hAnsi="Times New Roman" w:eastAsia="宋体"/>
          <w:b/>
          <w:bCs/>
          <w:color w:val="auto"/>
          <w:sz w:val="24"/>
        </w:rPr>
        <w:t>这里的“低海拔山地徒步”主要指普通居民、亲子家庭、中老年人和初级户外参与者可能参与的近郊登山、山地公园游览、城市周边徒步和低强度山地活动</w:t>
      </w:r>
      <w:r>
        <w:rPr>
          <w:rFonts w:ascii="Times New Roman" w:hAnsi="Times New Roman" w:eastAsia="宋体"/>
          <w:color w:val="auto"/>
          <w:sz w:val="24"/>
        </w:rPr>
        <w:t>，不讨论高海拔探险、专业攀登、赛事救援或完整户外产业治理。</w:t>
      </w:r>
      <w:bookmarkStart w:id="0" w:name="_GoBack"/>
      <w:bookmarkEnd w:id="0"/>
    </w:p>
    <w:p w14:paraId="1644CA3A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前期已经整理过两层材料。第一层是当前正文已经使用的20份候选材料，其中重点分析 A01、A03、A04、A05、A06、A08 六组图文信息较完整、与低海拔山地活动风险识别关系较强的材料；A10、A15、A20 等作为补充或对照材料使用。</w:t>
      </w:r>
    </w:p>
    <w:p w14:paraId="7DA77538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第二层是后续扩展整理的材料库。去重后已经把原来 A01-A110 及补充检索材料重新整理为 V001-V104 候选库。这个材料库可以作为后续扩充样本和补充论证来源，但不建议一次性全部放进论文核心分析，否则样本类型会太杂，方法压力会变大。当前更稳妥的做法是：正文以20份候选材料和其中核心样本为主，扩展材料库只作为后续筛选和补充说明。</w:t>
      </w:r>
    </w:p>
    <w:p w14:paraId="52DB8955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四、研究问题</w:t>
      </w:r>
    </w:p>
    <w:p w14:paraId="1FA6466C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本文的研究问题不准备写成“视觉材料是否能提升公众安全意识”。这个说法风险太大，因为当前没有做受众测试，也没有问卷、访谈、实验或眼动数据。更稳妥的研究问题如下：</w:t>
      </w:r>
    </w:p>
    <w:p w14:paraId="278B5BC4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问题一：</w:t>
      </w:r>
      <w:r>
        <w:rPr>
          <w:rFonts w:ascii="Times New Roman" w:hAnsi="Times New Roman" w:eastAsia="宋体"/>
          <w:color w:val="auto"/>
          <w:sz w:val="24"/>
        </w:rPr>
        <w:t>面向公众的低海拔山地徒步安全视觉材料主要呈现了哪些风险内容？</w:t>
      </w:r>
    </w:p>
    <w:p w14:paraId="79CE0499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问题二：</w:t>
      </w:r>
      <w:r>
        <w:rPr>
          <w:rFonts w:ascii="Times New Roman" w:hAnsi="Times New Roman" w:eastAsia="宋体"/>
          <w:color w:val="auto"/>
          <w:sz w:val="24"/>
        </w:rPr>
        <w:t>这些材料中的安全知识停留在“风险识别”，还是进一步进入“风险判断”和“行动应对”？</w:t>
      </w:r>
    </w:p>
    <w:p w14:paraId="1820E9F9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问题三：</w:t>
      </w:r>
      <w:r>
        <w:rPr>
          <w:rFonts w:ascii="Times New Roman" w:hAnsi="Times New Roman" w:eastAsia="宋体"/>
          <w:color w:val="auto"/>
          <w:sz w:val="24"/>
        </w:rPr>
        <w:t>这些风险知识主要通过哪些视觉方式传播，例如图标、色彩、清单、地图、流程、场景照片或插画？</w:t>
      </w:r>
    </w:p>
    <w:p w14:paraId="7558B5E6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问题四：</w:t>
      </w:r>
      <w:r>
        <w:rPr>
          <w:rFonts w:ascii="Times New Roman" w:hAnsi="Times New Roman" w:eastAsia="宋体"/>
          <w:color w:val="auto"/>
          <w:sz w:val="24"/>
        </w:rPr>
        <w:t>现有材料在哪些地方没有把安全信息转译充分，导致它们难以支持普通公众形成具体判断？</w:t>
      </w:r>
    </w:p>
    <w:p w14:paraId="0CEE8462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问题五：</w:t>
      </w:r>
      <w:r>
        <w:rPr>
          <w:rFonts w:ascii="Times New Roman" w:hAnsi="Times New Roman" w:eastAsia="宋体"/>
          <w:color w:val="auto"/>
          <w:sz w:val="24"/>
        </w:rPr>
        <w:t>基于这些问题，面向社区安全教育应用场景的视觉材料可以如何优化？</w:t>
      </w:r>
    </w:p>
    <w:p w14:paraId="3EC20673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五、分析框架</w:t>
      </w:r>
    </w:p>
    <w:p w14:paraId="4C8335B8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本文拟将分析框架压缩为三个主轴：风险内容、知识层级和视觉转译。三个主轴之间有递进关系：先看材料讲了什么风险，再看讲到什么程度，最后看它用什么视觉形式把这些风险讲出来。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88"/>
        <w:gridCol w:w="3855"/>
      </w:tblGrid>
      <w:tr w14:paraId="2DC50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00C25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分析主轴</w:t>
            </w:r>
          </w:p>
        </w:tc>
        <w:tc>
          <w:tcPr>
            <w:tcW w:w="32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E6D9D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关注内容</w:t>
            </w:r>
          </w:p>
        </w:tc>
        <w:tc>
          <w:tcPr>
            <w:tcW w:w="3855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01DF1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对应问题</w:t>
            </w:r>
          </w:p>
        </w:tc>
      </w:tr>
      <w:tr w14:paraId="6E2B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28F4C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风险内容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2EA60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环境气象、地形路线、装备补给、身体状态、团队行为、应急处置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25154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材料呈现了哪些安全风险，哪些风险被强调或弱化</w:t>
            </w:r>
          </w:p>
        </w:tc>
      </w:tr>
      <w:tr w14:paraId="657F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6410C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知识层级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6276B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风险识别、风险判断、行动应对、迁移应用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F888E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材料是否只提醒“有风险”，还是进一步支持判断和行动</w:t>
            </w:r>
          </w:p>
        </w:tc>
      </w:tr>
      <w:tr w14:paraId="30D9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2E6C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视觉转译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81129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图标、色彩、清单、地图、流程图、判断树、照片、插画、版式层级</w:t>
            </w:r>
          </w:p>
        </w:tc>
        <w:tc>
          <w:tcPr>
            <w:tcW w:w="385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21F46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风险知识通过什么视觉方式被组织，是否便于公众快速理解</w:t>
            </w:r>
          </w:p>
        </w:tc>
      </w:tr>
    </w:tbl>
    <w:p w14:paraId="7206C8E9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六、研究方法</w:t>
      </w:r>
    </w:p>
    <w:p w14:paraId="258CB083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方法上不准备做问卷、访谈、实验或 CiteSpace。当前更适合采用文献分析法、典型视觉材料内容分析法、视觉符号与信息设计分析，以及策略框架建构。</w:t>
      </w:r>
    </w:p>
    <w:p w14:paraId="10B72B8C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文献分析法：</w:t>
      </w:r>
      <w:r>
        <w:rPr>
          <w:rFonts w:ascii="Times New Roman" w:hAnsi="Times New Roman" w:eastAsia="宋体"/>
          <w:color w:val="auto"/>
          <w:sz w:val="24"/>
        </w:rPr>
        <w:t>梳理户外运动风险识别、山地徒步安全、户外安全教育、安全标识和视觉传播相关研究。</w:t>
      </w:r>
    </w:p>
    <w:p w14:paraId="54ACC5B8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典型视觉材料内容分析法：</w:t>
      </w:r>
      <w:r>
        <w:rPr>
          <w:rFonts w:ascii="Times New Roman" w:hAnsi="Times New Roman" w:eastAsia="宋体"/>
          <w:color w:val="auto"/>
          <w:sz w:val="24"/>
        </w:rPr>
        <w:t>对公开可获得的视觉材料进行人工编码，分析风险内容、知识层级和视觉转译方式。</w:t>
      </w:r>
    </w:p>
    <w:p w14:paraId="565AFB20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视觉符号与信息设计分析：</w:t>
      </w:r>
      <w:r>
        <w:rPr>
          <w:rFonts w:ascii="Times New Roman" w:hAnsi="Times New Roman" w:eastAsia="宋体"/>
          <w:color w:val="auto"/>
          <w:sz w:val="24"/>
        </w:rPr>
        <w:t>重点看图标、色彩、地图、流程、清单、照片和版式如何影响安全信息的组织。</w:t>
      </w:r>
    </w:p>
    <w:p w14:paraId="22172D32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策略框架建构：</w:t>
      </w:r>
      <w:r>
        <w:rPr>
          <w:rFonts w:ascii="Times New Roman" w:hAnsi="Times New Roman" w:eastAsia="宋体"/>
          <w:color w:val="auto"/>
          <w:sz w:val="24"/>
        </w:rPr>
        <w:t>根据材料分析发现的问题，提出面向社区安全教育应用场景的视觉传播优化策略。</w:t>
      </w:r>
    </w:p>
    <w:p w14:paraId="60538144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需要说明的是，内容分析不是为了做总体统计推断，而是为了分析典型材料中安全信息如何被呈现、组织和转译。因此，论文中只能说“在本文样本中可见”“核心样本显示”，不能写成“所有山地徒步安全材料普遍存在”。</w:t>
      </w:r>
    </w:p>
    <w:p w14:paraId="276839A0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七、初步发现与问题判断</w:t>
      </w:r>
    </w:p>
    <w:p w14:paraId="00922472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从当前核心样本看，现有材料并不是没有安全信息。天气、路线、装备、未开放区域、火源管理和求救等内容都已经出现，部分材料也有具体行动建议。但问题主要集中在以下三方面。</w:t>
      </w:r>
    </w:p>
    <w:p w14:paraId="5F379E94">
      <w:pPr>
        <w:spacing w:before="200" w:after="10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6"/>
        </w:rPr>
        <w:t>（一）判断条件不足</w:t>
      </w:r>
    </w:p>
    <w:p w14:paraId="1F417828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很多材料会说“注意天气”“提前规划路线”“量力而行”，但较少说明什么天气条件应取消出行，什么身体状态应停止前进，什么路线条件应下撤。</w:t>
      </w:r>
    </w:p>
    <w:p w14:paraId="01ACA4DB">
      <w:pPr>
        <w:spacing w:before="200" w:after="10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6"/>
        </w:rPr>
        <w:t>（二）行动流程不足</w:t>
      </w:r>
    </w:p>
    <w:p w14:paraId="1453F8FC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迷路、跌伤、雷雨、天黑前无法返回、等待救援等情境，需要连续步骤。但现有材料多用并列清单表达，缺少“先做什么、再做什么、不要做什么”的流程化信息。</w:t>
      </w:r>
    </w:p>
    <w:p w14:paraId="4A5B3003">
      <w:pPr>
        <w:spacing w:before="200" w:after="10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6"/>
        </w:rPr>
        <w:t>（三）视觉转译方式偏单一</w:t>
      </w:r>
    </w:p>
    <w:p w14:paraId="0EA34DC2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图卡、短句、插画和清单较多，地图标注、流程图、判断树、应急卡片、正误对比相对不足。山地徒步风险有明显的空间性和过程性，如果只靠文字提示和装饰性图像，很难表达路线偏离、危险点、集合点、下撤方向和求救定位。</w:t>
      </w:r>
    </w:p>
    <w:p w14:paraId="08842BA2">
      <w:pPr>
        <w:spacing w:before="0" w:after="80" w:line="360" w:lineRule="auto"/>
        <w:ind w:firstLine="48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这些问题不是要否定现有材料，而是说明安全视觉材料的改进重点不应只是增加提示数量，而是改进信息组织方式。</w:t>
      </w:r>
    </w:p>
    <w:p w14:paraId="089D8002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八、拟写论文结构</w:t>
      </w:r>
    </w:p>
    <w:p w14:paraId="5D3A5EA4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第一章 引言：</w:t>
      </w:r>
      <w:r>
        <w:rPr>
          <w:rFonts w:ascii="Times New Roman" w:hAnsi="Times New Roman" w:eastAsia="宋体"/>
          <w:color w:val="auto"/>
          <w:sz w:val="24"/>
        </w:rPr>
        <w:t>说明研究背景、问题提出、研究意义和文章结构。</w:t>
      </w:r>
    </w:p>
    <w:p w14:paraId="24BA99AA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第二章 研究基础与分析框架：</w:t>
      </w:r>
      <w:r>
        <w:rPr>
          <w:rFonts w:ascii="Times New Roman" w:hAnsi="Times New Roman" w:eastAsia="宋体"/>
          <w:color w:val="auto"/>
          <w:sz w:val="24"/>
        </w:rPr>
        <w:t>从山地徒步风险识别、户外安全教育、安全标识与视觉传播三类文献进入，形成“风险内容—知识层级—视觉转译”的分析框架。</w:t>
      </w:r>
    </w:p>
    <w:p w14:paraId="6340AD08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第三章 研究设计：</w:t>
      </w:r>
      <w:r>
        <w:rPr>
          <w:rFonts w:ascii="Times New Roman" w:hAnsi="Times New Roman" w:eastAsia="宋体"/>
          <w:color w:val="auto"/>
          <w:sz w:val="24"/>
        </w:rPr>
        <w:t>交代研究对象、样本来源、样本分层、编码维度、分析单位和研究限制。</w:t>
      </w:r>
    </w:p>
    <w:p w14:paraId="5DE42821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第四章 典型山地活动安全视觉材料内容分析：</w:t>
      </w:r>
      <w:r>
        <w:rPr>
          <w:rFonts w:ascii="Times New Roman" w:hAnsi="Times New Roman" w:eastAsia="宋体"/>
          <w:color w:val="auto"/>
          <w:sz w:val="24"/>
        </w:rPr>
        <w:t>从风险类型、知识层级、视觉转译方式、行动指导和受众适配几个方面组织材料证据。</w:t>
      </w:r>
    </w:p>
    <w:p w14:paraId="19E0C8EC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第五章 面向社区安全教育应用场景的视觉传播策略：</w:t>
      </w:r>
      <w:r>
        <w:rPr>
          <w:rFonts w:ascii="Times New Roman" w:hAnsi="Times New Roman" w:eastAsia="宋体"/>
          <w:color w:val="auto"/>
          <w:sz w:val="24"/>
        </w:rPr>
        <w:t>从第四章问题推出场景化、判断化、流程化、地图化和组合化策略。</w:t>
      </w:r>
    </w:p>
    <w:p w14:paraId="43FBD25A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第六章 结论：</w:t>
      </w:r>
      <w:r>
        <w:rPr>
          <w:rFonts w:ascii="Times New Roman" w:hAnsi="Times New Roman" w:eastAsia="宋体"/>
          <w:color w:val="auto"/>
          <w:sz w:val="24"/>
        </w:rPr>
        <w:t>总结研究发现、实践价值和研究不足，说明本文不能证明视觉策略实际提升公众安全意识，只能提出基于材料内容分析的优化方向。</w:t>
      </w:r>
    </w:p>
    <w:p w14:paraId="6CBB0F70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九、需要控制的研究风险</w:t>
      </w:r>
    </w:p>
    <w:p w14:paraId="16DCD03B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风险一：</w:t>
      </w:r>
      <w:r>
        <w:rPr>
          <w:rFonts w:ascii="Times New Roman" w:hAnsi="Times New Roman" w:eastAsia="宋体"/>
          <w:color w:val="auto"/>
          <w:sz w:val="24"/>
        </w:rPr>
        <w:t>“社区”概念不能写虚。样本不是全部来自社区，所以“社区安全教育”只能作为应用场景，不能写成样本来源。</w:t>
      </w:r>
    </w:p>
    <w:p w14:paraId="7CD3C2B6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风险二：</w:t>
      </w:r>
      <w:r>
        <w:rPr>
          <w:rFonts w:ascii="Times New Roman" w:hAnsi="Times New Roman" w:eastAsia="宋体"/>
          <w:color w:val="auto"/>
          <w:sz w:val="24"/>
        </w:rPr>
        <w:t>不能声称传播效果。没有受众测试，就不能写“显著提升安全意识”“提高行为能力”“证明有效”。</w:t>
      </w:r>
    </w:p>
    <w:p w14:paraId="05C42A12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风险三：</w:t>
      </w:r>
      <w:r>
        <w:rPr>
          <w:rFonts w:ascii="Times New Roman" w:hAnsi="Times New Roman" w:eastAsia="宋体"/>
          <w:color w:val="auto"/>
          <w:sz w:val="24"/>
        </w:rPr>
        <w:t>样本范围要说清楚。20份候选材料、83张主视觉候选图、6组核心样本、V001-V104扩展库之间不能混用。</w:t>
      </w:r>
    </w:p>
    <w:p w14:paraId="499F55DD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风险四：</w:t>
      </w:r>
      <w:r>
        <w:rPr>
          <w:rFonts w:ascii="Times New Roman" w:hAnsi="Times New Roman" w:eastAsia="宋体"/>
          <w:color w:val="auto"/>
          <w:sz w:val="24"/>
        </w:rPr>
        <w:t>视觉传播文献还要补。后续至少需要补3—5篇视觉传播、信息设计、安全标识和风险沟通可视化方向文献。</w:t>
      </w:r>
    </w:p>
    <w:p w14:paraId="271E9412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风险五：</w:t>
      </w:r>
      <w:r>
        <w:rPr>
          <w:rFonts w:ascii="Times New Roman" w:hAnsi="Times New Roman" w:eastAsia="宋体"/>
          <w:color w:val="auto"/>
          <w:sz w:val="24"/>
        </w:rPr>
        <w:t>图片来源和授权要处理。正式投稿前需要统一材料来源、获取日期、图注格式和图片授权；授权不稳时，可改成文字化表格、局部示意重绘或代表样本拼图。</w:t>
      </w:r>
    </w:p>
    <w:p w14:paraId="0A044CC8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十、希望导师重点判断的问题</w:t>
      </w:r>
    </w:p>
    <w:p w14:paraId="45336E65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判断一：</w:t>
      </w:r>
      <w:r>
        <w:rPr>
          <w:rFonts w:ascii="Times New Roman" w:hAnsi="Times New Roman" w:eastAsia="宋体"/>
          <w:color w:val="auto"/>
          <w:sz w:val="24"/>
        </w:rPr>
        <w:t>题目是否应该保留“社区安全教育”，还是像现在这样把“社区”放到应用场景中处理？</w:t>
      </w:r>
    </w:p>
    <w:p w14:paraId="44BE894B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判断二：</w:t>
      </w:r>
      <w:r>
        <w:rPr>
          <w:rFonts w:ascii="Times New Roman" w:hAnsi="Times New Roman" w:eastAsia="宋体"/>
          <w:color w:val="auto"/>
          <w:sz w:val="24"/>
        </w:rPr>
        <w:t>研究对象限定在“低海拔山地徒步安全教育视觉材料”是否合适，范围是否还需要继续收窄？</w:t>
      </w:r>
    </w:p>
    <w:p w14:paraId="6E14A98D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判断三：</w:t>
      </w:r>
      <w:r>
        <w:rPr>
          <w:rFonts w:ascii="Times New Roman" w:hAnsi="Times New Roman" w:eastAsia="宋体"/>
          <w:color w:val="auto"/>
          <w:sz w:val="24"/>
        </w:rPr>
        <w:t>以典型视觉材料内容分析作为主方法是否成立，是否需要补充更明确的样本筛选和编码规则？</w:t>
      </w:r>
    </w:p>
    <w:p w14:paraId="7DF0F4AA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判断四：</w:t>
      </w:r>
      <w:r>
        <w:rPr>
          <w:rFonts w:ascii="Times New Roman" w:hAnsi="Times New Roman" w:eastAsia="宋体"/>
          <w:color w:val="auto"/>
          <w:sz w:val="24"/>
        </w:rPr>
        <w:t>“风险内容—知识层级—视觉转译”这个分析框架是否能够支撑论文主线？</w:t>
      </w:r>
    </w:p>
    <w:p w14:paraId="02E1D8B4">
      <w:pPr>
        <w:spacing w:before="0" w:after="80" w:line="360" w:lineRule="auto"/>
        <w:ind w:left="480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24"/>
        </w:rPr>
        <w:t>判断五：</w:t>
      </w:r>
      <w:r>
        <w:rPr>
          <w:rFonts w:ascii="Times New Roman" w:hAnsi="Times New Roman" w:eastAsia="宋体"/>
          <w:color w:val="auto"/>
          <w:sz w:val="24"/>
        </w:rPr>
        <w:t>第五章策略是否应该写成实践建议，还是进一步压缩成“场景化、层级化、流程化、组合化”的理论框架？</w:t>
      </w:r>
    </w:p>
    <w:p w14:paraId="4B7089BA">
      <w:pPr>
        <w:spacing w:before="280" w:after="160" w:line="300" w:lineRule="auto"/>
        <w:rPr>
          <w:color w:val="auto"/>
        </w:rPr>
      </w:pPr>
      <w:r>
        <w:rPr>
          <w:rFonts w:ascii="Times New Roman" w:hAnsi="Times New Roman" w:eastAsia="黑体"/>
          <w:b/>
          <w:color w:val="auto"/>
          <w:sz w:val="30"/>
        </w:rPr>
        <w:t>十一、下一步工作安排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288"/>
      </w:tblGrid>
      <w:tr w14:paraId="35E8C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4D82E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阶段</w:t>
            </w:r>
          </w:p>
        </w:tc>
        <w:tc>
          <w:tcPr>
            <w:tcW w:w="3969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B90F7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主要任务</w:t>
            </w:r>
          </w:p>
        </w:tc>
        <w:tc>
          <w:tcPr>
            <w:tcW w:w="3288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D6F73">
            <w:pPr>
              <w:spacing w:before="0" w:after="0" w:line="288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产出</w:t>
            </w:r>
          </w:p>
        </w:tc>
      </w:tr>
      <w:tr w14:paraId="2D379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2753F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样本固定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04AF3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确定正式分析样本，避免继续无限扩充材料。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2BFDD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正式样本清单</w:t>
            </w:r>
          </w:p>
        </w:tc>
      </w:tr>
      <w:tr w14:paraId="6A42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879B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编码复核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A11C0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整理核心样本证据，明确每个判断对应哪些材料。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5DF6D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可复核编码表</w:t>
            </w:r>
          </w:p>
        </w:tc>
      </w:tr>
      <w:tr w14:paraId="4588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5A516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文献补强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F191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补充视觉传播、信息设计、安全标识和风险沟通可视化文献。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7FAEB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文献补充清单</w:t>
            </w:r>
          </w:p>
        </w:tc>
      </w:tr>
      <w:tr w14:paraId="698C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B4CE4">
            <w:pPr>
              <w:spacing w:before="0" w:after="0" w:line="30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黑体"/>
                <w:b/>
                <w:color w:val="auto"/>
                <w:sz w:val="21"/>
              </w:rPr>
              <w:t>结构修订</w:t>
            </w:r>
          </w:p>
        </w:tc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8A270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根据导师意见调整题目、研究边界和第五章策略表达。</w:t>
            </w:r>
          </w:p>
        </w:tc>
        <w:tc>
          <w:tcPr>
            <w:tcW w:w="32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AE37C">
            <w:pPr>
              <w:spacing w:before="0" w:after="0" w:line="300" w:lineRule="auto"/>
              <w:rPr>
                <w:color w:val="auto"/>
              </w:rPr>
            </w:pPr>
            <w:r>
              <w:rPr>
                <w:rFonts w:ascii="Times New Roman" w:hAnsi="Times New Roman" w:eastAsia="宋体"/>
                <w:color w:val="auto"/>
                <w:sz w:val="21"/>
              </w:rPr>
              <w:t>修订版论文框架</w:t>
            </w:r>
          </w:p>
        </w:tc>
      </w:tr>
    </w:tbl>
    <w:p w14:paraId="76E15AE4">
      <w:pPr>
        <w:rPr>
          <w:color w:val="auto"/>
        </w:rPr>
      </w:pPr>
    </w:p>
    <w:sectPr>
      <w:headerReference r:id="rId5" w:type="default"/>
      <w:footerReference r:id="rId6" w:type="default"/>
      <w:pgSz w:w="11906" w:h="16838"/>
      <w:pgMar w:top="1417" w:right="1474" w:bottom="1417" w:left="1587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7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71">
    <w:panose1 w:val="02000609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4CFE">
    <w:pPr>
      <w:pStyle w:val="24"/>
      <w:jc w:val="center"/>
    </w:pPr>
    <w:r>
      <w:rPr>
        <w:rFonts w:ascii="Times New Roman" w:hAnsi="Times New Roman" w:eastAsia="宋体"/>
        <w:sz w:val="20"/>
      </w:rPr>
      <w:t xml:space="preserve">第 </w:t>
    </w:r>
    <w:r>
      <w:rPr>
        <w:rFonts w:ascii="Times New Roman" w:hAnsi="Times New Roman" w:eastAsia="宋体"/>
        <w:sz w:val="20"/>
      </w:rPr>
      <w:fldChar w:fldCharType="begin"/>
    </w:r>
    <w:r>
      <w:rPr>
        <w:rFonts w:ascii="Times New Roman" w:hAnsi="Times New Roman" w:eastAsia="宋体"/>
        <w:sz w:val="20"/>
      </w:rPr>
      <w:instrText xml:space="preserve">PAGE</w:instrText>
    </w:r>
    <w:r>
      <w:rPr>
        <w:rFonts w:ascii="Times New Roman" w:hAnsi="Times New Roman" w:eastAsia="宋体"/>
        <w:sz w:val="20"/>
      </w:rPr>
      <w:fldChar w:fldCharType="end"/>
    </w:r>
    <w:r>
      <w:rPr>
        <w:rFonts w:ascii="Times New Roman" w:hAnsi="Times New Roman" w:eastAsia="宋体"/>
        <w:sz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2B423">
    <w:pPr>
      <w:pStyle w:val="25"/>
      <w:jc w:val="center"/>
    </w:pPr>
    <w:r>
      <w:rPr>
        <w:rFonts w:ascii="Times New Roman" w:hAnsi="Times New Roman" w:eastAsia="宋体"/>
        <w:color w:val="666666"/>
        <w:sz w:val="20"/>
      </w:rPr>
      <w:t>选题方案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EA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3667</Words>
  <Characters>3730</Characters>
  <Lines>0</Lines>
  <Paragraphs>0</Paragraphs>
  <TotalTime>9</TotalTime>
  <ScaleCrop>false</ScaleCrop>
  <LinksUpToDate>false</LinksUpToDate>
  <CharactersWithSpaces>3748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蒋左丞</cp:lastModifiedBy>
  <dcterms:modified xsi:type="dcterms:W3CDTF">2026-06-16T06:43:13Z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eyJoZGlkIjoiMDc3OGY5ZGRjNDQzMjVjYWE3OWJhNzAzYTkwMTU2NGUiLCJ1c2VySWQiOiIzNzk5MDg5NjQifQ==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E52EBF9D4EA9461CBE1EA9C0E98437A0_12</vt:lpwstr>
  </property>
</Properties>
</file>