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Compound Solvent Handling, Feasibility, Plate Sealing, and Storage SOP</w:t>
      </w:r>
    </w:p>
    <w:p>
      <w:pPr>
        <w:jc w:val="center"/>
      </w:pPr>
      <w:r>
        <w:rPr>
          <w:i/>
          <w:color w:val="595959"/>
          <w:sz w:val="21"/>
        </w:rPr>
        <w:t>Compound Management Assistant MVP | SOP-Driven Handling, Feasibility, and Plate Lifecycle Rules</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4F81BD"/>
          </w:tcPr>
          <w:p>
            <w:pPr>
              <w:spacing w:after="40" w:before="40"/>
            </w:pPr>
            <w:r>
              <w:rPr>
                <w:rFonts w:ascii="Aptos" w:hAnsi="Aptos"/>
                <w:b/>
                <w:color w:val="FFFFFF"/>
                <w:sz w:val="17"/>
              </w:rPr>
              <w:t>SOP ID</w:t>
            </w:r>
          </w:p>
        </w:tc>
        <w:tc>
          <w:tcPr>
            <w:tcW w:type="dxa" w:w="2556"/>
            <w:vAlign w:val="center"/>
            <w:tcMar>
              <w:top w:w="90" w:type="dxa"/>
              <w:start w:w="90" w:type="dxa"/>
              <w:bottom w:w="90" w:type="dxa"/>
              <w:end w:w="90" w:type="dxa"/>
            </w:tcMar>
            <w:shd w:fill="4F81BD"/>
          </w:tcPr>
          <w:p>
            <w:pPr>
              <w:spacing w:after="40" w:before="40"/>
            </w:pPr>
            <w:r>
              <w:rPr>
                <w:rFonts w:ascii="Aptos" w:hAnsi="Aptos"/>
                <w:b/>
                <w:color w:val="FFFFFF"/>
                <w:sz w:val="17"/>
              </w:rPr>
              <w:t>CM-SOLV-PLT-001</w:t>
            </w:r>
          </w:p>
        </w:tc>
        <w:tc>
          <w:tcPr>
            <w:tcW w:type="dxa" w:w="2556"/>
            <w:vAlign w:val="center"/>
            <w:tcMar>
              <w:top w:w="90" w:type="dxa"/>
              <w:start w:w="90" w:type="dxa"/>
              <w:bottom w:w="90" w:type="dxa"/>
              <w:end w:w="90" w:type="dxa"/>
            </w:tcMar>
            <w:shd w:fill="4F81BD"/>
          </w:tcPr>
          <w:p>
            <w:pPr>
              <w:spacing w:after="40" w:before="40"/>
            </w:pPr>
            <w:r>
              <w:rPr>
                <w:rFonts w:ascii="Aptos" w:hAnsi="Aptos"/>
                <w:b/>
                <w:color w:val="FFFFFF"/>
                <w:sz w:val="17"/>
              </w:rPr>
              <w:t>Version</w:t>
            </w:r>
          </w:p>
        </w:tc>
        <w:tc>
          <w:tcPr>
            <w:tcW w:type="dxa" w:w="2556"/>
            <w:vAlign w:val="center"/>
            <w:tcMar>
              <w:top w:w="90" w:type="dxa"/>
              <w:start w:w="90" w:type="dxa"/>
              <w:bottom w:w="90" w:type="dxa"/>
              <w:end w:w="90" w:type="dxa"/>
            </w:tcMar>
            <w:shd w:fill="4F81BD"/>
          </w:tcPr>
          <w:p>
            <w:pPr>
              <w:spacing w:after="40" w:before="40"/>
            </w:pPr>
            <w:r>
              <w:rPr>
                <w:rFonts w:ascii="Aptos" w:hAnsi="Aptos"/>
                <w:b/>
                <w:color w:val="FFFFFF"/>
                <w:sz w:val="17"/>
              </w:rPr>
              <w:t>1.1</w:t>
            </w:r>
          </w:p>
        </w:tc>
      </w:tr>
      <w:tr>
        <w:tc>
          <w:tcPr>
            <w:tcW w:type="dxa" w:w="2556"/>
            <w:vAlign w:val="center"/>
            <w:tcMar>
              <w:top w:w="90" w:type="dxa"/>
              <w:start w:w="90" w:type="dxa"/>
              <w:bottom w:w="90" w:type="dxa"/>
              <w:end w:w="90" w:type="dxa"/>
            </w:tcMar>
          </w:tcPr>
          <w:p>
            <w:pPr>
              <w:spacing w:after="40" w:before="40"/>
            </w:pPr>
            <w:r>
              <w:rPr>
                <w:rFonts w:ascii="Aptos" w:hAnsi="Aptos"/>
                <w:sz w:val="17"/>
              </w:rPr>
              <w:t>Effective Date</w:t>
            </w:r>
          </w:p>
        </w:tc>
        <w:tc>
          <w:tcPr>
            <w:tcW w:type="dxa" w:w="2556"/>
            <w:vAlign w:val="center"/>
            <w:tcMar>
              <w:top w:w="90" w:type="dxa"/>
              <w:start w:w="90" w:type="dxa"/>
              <w:bottom w:w="90" w:type="dxa"/>
              <w:end w:w="90" w:type="dxa"/>
            </w:tcMar>
          </w:tcPr>
          <w:p>
            <w:pPr>
              <w:spacing w:after="40" w:before="40"/>
            </w:pPr>
            <w:r>
              <w:rPr>
                <w:rFonts w:ascii="Aptos" w:hAnsi="Aptos"/>
                <w:sz w:val="17"/>
              </w:rPr>
              <w:t>2026-07-23</w:t>
            </w:r>
          </w:p>
        </w:tc>
        <w:tc>
          <w:tcPr>
            <w:tcW w:type="dxa" w:w="2556"/>
            <w:vAlign w:val="center"/>
            <w:tcMar>
              <w:top w:w="90" w:type="dxa"/>
              <w:start w:w="90" w:type="dxa"/>
              <w:bottom w:w="90" w:type="dxa"/>
              <w:end w:w="90" w:type="dxa"/>
            </w:tcMar>
          </w:tcPr>
          <w:p>
            <w:pPr>
              <w:spacing w:after="40" w:before="40"/>
            </w:pPr>
            <w:r>
              <w:rPr>
                <w:rFonts w:ascii="Aptos" w:hAnsi="Aptos"/>
                <w:sz w:val="17"/>
              </w:rPr>
              <w:t>Owner</w:t>
            </w:r>
          </w:p>
        </w:tc>
        <w:tc>
          <w:tcPr>
            <w:tcW w:type="dxa" w:w="2556"/>
            <w:vAlign w:val="center"/>
            <w:tcMar>
              <w:top w:w="90" w:type="dxa"/>
              <w:start w:w="90" w:type="dxa"/>
              <w:bottom w:w="90" w:type="dxa"/>
              <w:end w:w="90" w:type="dxa"/>
            </w:tcMar>
          </w:tcPr>
          <w:p>
            <w:pPr>
              <w:spacing w:after="40" w:before="40"/>
            </w:pPr>
            <w:r>
              <w:rPr>
                <w:rFonts w:ascii="Aptos" w:hAnsi="Aptos"/>
                <w:sz w:val="17"/>
              </w:rPr>
              <w:t>Compound Management Team</w:t>
            </w:r>
          </w:p>
        </w:tc>
      </w:tr>
      <w:tr>
        <w:tc>
          <w:tcPr>
            <w:tcW w:type="dxa" w:w="2556"/>
            <w:vAlign w:val="center"/>
            <w:tcMar>
              <w:top w:w="90" w:type="dxa"/>
              <w:start w:w="90" w:type="dxa"/>
              <w:bottom w:w="90" w:type="dxa"/>
              <w:end w:w="90" w:type="dxa"/>
            </w:tcMar>
          </w:tcPr>
          <w:p>
            <w:pPr>
              <w:spacing w:after="40" w:before="40"/>
            </w:pPr>
            <w:r>
              <w:rPr>
                <w:rFonts w:ascii="Aptos" w:hAnsi="Aptos"/>
                <w:sz w:val="17"/>
              </w:rPr>
              <w:t>Applies To</w:t>
            </w:r>
          </w:p>
        </w:tc>
        <w:tc>
          <w:tcPr>
            <w:tcW w:type="dxa" w:w="2556"/>
            <w:vAlign w:val="center"/>
            <w:tcMar>
              <w:top w:w="90" w:type="dxa"/>
              <w:start w:w="90" w:type="dxa"/>
              <w:bottom w:w="90" w:type="dxa"/>
              <w:end w:w="90" w:type="dxa"/>
            </w:tcMar>
          </w:tcPr>
          <w:p>
            <w:pPr>
              <w:spacing w:after="40" w:before="40"/>
            </w:pPr>
            <w:r>
              <w:rPr>
                <w:rFonts w:ascii="Aptos" w:hAnsi="Aptos"/>
                <w:sz w:val="17"/>
              </w:rPr>
              <w:t>DMSO, Methanol, Ethanol, Acetonitrile, Water, PBS, Buffer; source, intermediate, and assay plates</w:t>
            </w:r>
          </w:p>
        </w:tc>
        <w:tc>
          <w:tcPr>
            <w:tcW w:type="dxa" w:w="2556"/>
            <w:vAlign w:val="center"/>
            <w:tcMar>
              <w:top w:w="90" w:type="dxa"/>
              <w:start w:w="90" w:type="dxa"/>
              <w:bottom w:w="90" w:type="dxa"/>
              <w:end w:w="90" w:type="dxa"/>
            </w:tcMar>
          </w:tcPr>
          <w:p>
            <w:pPr>
              <w:spacing w:after="40" w:before="40"/>
            </w:pPr>
            <w:r>
              <w:rPr>
                <w:rFonts w:ascii="Aptos" w:hAnsi="Aptos"/>
                <w:sz w:val="17"/>
              </w:rPr>
              <w:t>System Use</w:t>
            </w:r>
          </w:p>
        </w:tc>
        <w:tc>
          <w:tcPr>
            <w:tcW w:type="dxa" w:w="2556"/>
            <w:vAlign w:val="center"/>
            <w:tcMar>
              <w:top w:w="90" w:type="dxa"/>
              <w:start w:w="90" w:type="dxa"/>
              <w:bottom w:w="90" w:type="dxa"/>
              <w:end w:w="90" w:type="dxa"/>
            </w:tcMar>
          </w:tcPr>
          <w:p>
            <w:pPr>
              <w:spacing w:after="40" w:before="40"/>
            </w:pPr>
            <w:r>
              <w:rPr>
                <w:rFonts w:ascii="Aptos" w:hAnsi="Aptos"/>
                <w:sz w:val="17"/>
              </w:rPr>
              <w:t>CompoundOps Assistant</w:t>
            </w:r>
          </w:p>
        </w:tc>
      </w:tr>
      <w:tr>
        <w:tc>
          <w:tcPr>
            <w:tcW w:type="dxa" w:w="2556"/>
            <w:vAlign w:val="center"/>
            <w:tcMar>
              <w:top w:w="90" w:type="dxa"/>
              <w:start w:w="90" w:type="dxa"/>
              <w:bottom w:w="90" w:type="dxa"/>
              <w:end w:w="90" w:type="dxa"/>
            </w:tcMar>
          </w:tcPr>
          <w:p>
            <w:pPr>
              <w:spacing w:after="40" w:before="40"/>
            </w:pPr>
            <w:r>
              <w:rPr>
                <w:rFonts w:ascii="Aptos" w:hAnsi="Aptos"/>
                <w:sz w:val="17"/>
              </w:rPr>
              <w:t>Document Type</w:t>
            </w:r>
          </w:p>
        </w:tc>
        <w:tc>
          <w:tcPr>
            <w:tcW w:type="dxa" w:w="2556"/>
            <w:vAlign w:val="center"/>
            <w:tcMar>
              <w:top w:w="90" w:type="dxa"/>
              <w:start w:w="90" w:type="dxa"/>
              <w:bottom w:w="90" w:type="dxa"/>
              <w:end w:w="90" w:type="dxa"/>
            </w:tcMar>
          </w:tcPr>
          <w:p>
            <w:pPr>
              <w:spacing w:after="40" w:before="40"/>
            </w:pPr>
            <w:r>
              <w:rPr>
                <w:rFonts w:ascii="Aptos" w:hAnsi="Aptos"/>
                <w:sz w:val="17"/>
              </w:rPr>
              <w:t>Simplified Training SOP</w:t>
            </w:r>
          </w:p>
        </w:tc>
        <w:tc>
          <w:tcPr>
            <w:tcW w:type="dxa" w:w="2556"/>
            <w:vAlign w:val="center"/>
            <w:tcMar>
              <w:top w:w="90" w:type="dxa"/>
              <w:start w:w="90" w:type="dxa"/>
              <w:bottom w:w="90" w:type="dxa"/>
              <w:end w:w="90" w:type="dxa"/>
            </w:tcMar>
          </w:tcPr>
          <w:p>
            <w:pPr>
              <w:spacing w:after="40" w:before="40"/>
            </w:pPr>
            <w:r>
              <w:rPr>
                <w:rFonts w:ascii="Aptos" w:hAnsi="Aptos"/>
                <w:sz w:val="17"/>
              </w:rPr>
              <w:t>Regulatory Status</w:t>
            </w:r>
          </w:p>
        </w:tc>
        <w:tc>
          <w:tcPr>
            <w:tcW w:type="dxa" w:w="2556"/>
            <w:vAlign w:val="center"/>
            <w:tcMar>
              <w:top w:w="90" w:type="dxa"/>
              <w:start w:w="90" w:type="dxa"/>
              <w:bottom w:w="90" w:type="dxa"/>
              <w:end w:w="90" w:type="dxa"/>
            </w:tcMar>
          </w:tcPr>
          <w:p>
            <w:pPr>
              <w:spacing w:after="40" w:before="40"/>
            </w:pPr>
            <w:r>
              <w:rPr>
                <w:rFonts w:ascii="Aptos" w:hAnsi="Aptos"/>
                <w:sz w:val="17"/>
              </w:rPr>
              <w:t>Educational mock SOP; not for regulated lab use</w:t>
            </w:r>
          </w:p>
        </w:tc>
      </w:tr>
    </w:tbl>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b/>
                <w:color w:val="1F4E79"/>
                <w:sz w:val="20"/>
              </w:rPr>
              <w:t>Executive Use Statement</w:t>
            </w:r>
          </w:p>
          <w:p>
            <w:pPr>
              <w:spacing w:before="80" w:after="0"/>
            </w:pPr>
            <w:r>
              <w:rPr>
                <w:sz w:val="18"/>
              </w:rPr>
              <w:t>This SOP provides deterministic rules for solvent handling, plate sealing, heat-seal eligibility, cold or frozen storage, incubation review, transport, inventory feasibility, freeze-thaw limits, expiration, and residual-volume calculations. The CompoundOps Assistant should generate rule-based verdicts before providing any AI explanation.</w:t>
            </w:r>
          </w:p>
        </w:tc>
      </w:tr>
    </w:tbl>
    <w:p/>
    <w:p>
      <w:pPr>
        <w:pStyle w:val="Heading1"/>
      </w:pPr>
      <w:r>
        <w:rPr>
          <w:rFonts w:ascii="Aptos Display" w:hAnsi="Aptos Display"/>
          <w:color w:val="1F4E79"/>
          <w:sz w:val="30"/>
        </w:rPr>
        <w:t>1. Purpose</w:t>
      </w:r>
    </w:p>
    <w:p>
      <w:r>
        <w:t>This SOP defines standardized handling, storage, feasibility assessment, dispensing, sealing, heat exposure, incubation, and transport requirements for compound stocks and compound-containing plates. It is designed to support the CompoundOps Assistant and provide consistent guidance for scientists and compound management users during assay planning and plate preparation.</w:t>
      </w:r>
    </w:p>
    <w:p>
      <w:pPr>
        <w:pStyle w:val="Heading1"/>
      </w:pPr>
      <w:r>
        <w:rPr>
          <w:rFonts w:ascii="Aptos Display" w:hAnsi="Aptos Display"/>
          <w:color w:val="1F4E79"/>
          <w:sz w:val="30"/>
        </w:rPr>
        <w:t>2. Scope</w:t>
      </w:r>
    </w:p>
    <w:p>
      <w:r>
        <w:t>This SOP applies to compound inventory records, source plates, intermediate plates, assay-ready plates, acoustic dispensing workflows, manual plate preparation, and plate storage workflows involving the following solvent systems:</w:t>
      </w:r>
    </w:p>
    <w:p>
      <w:pPr>
        <w:pStyle w:val="ListBullet"/>
      </w:pPr>
      <w:r>
        <w:t>DMSO</w:t>
      </w:r>
    </w:p>
    <w:p>
      <w:pPr>
        <w:pStyle w:val="ListBullet"/>
      </w:pPr>
      <w:r>
        <w:t>Methanol</w:t>
      </w:r>
    </w:p>
    <w:p>
      <w:pPr>
        <w:pStyle w:val="ListBullet"/>
      </w:pPr>
      <w:r>
        <w:t>Ethanol</w:t>
      </w:r>
    </w:p>
    <w:p>
      <w:pPr>
        <w:pStyle w:val="ListBullet"/>
      </w:pPr>
      <w:r>
        <w:t>Acetonitrile</w:t>
      </w:r>
    </w:p>
    <w:p>
      <w:pPr>
        <w:pStyle w:val="ListBullet"/>
      </w:pPr>
      <w:r>
        <w:t>Water</w:t>
      </w:r>
    </w:p>
    <w:p>
      <w:pPr>
        <w:pStyle w:val="ListBullet"/>
      </w:pPr>
      <w:r>
        <w:t>PBS</w:t>
      </w:r>
    </w:p>
    <w:p>
      <w:pPr>
        <w:pStyle w:val="ListBullet"/>
      </w:pPr>
      <w:r>
        <w:t>Aqueous or custom buffer systems</w:t>
      </w:r>
    </w:p>
    <w:p>
      <w:pPr>
        <w:pStyle w:val="Heading1"/>
      </w:pPr>
      <w:r>
        <w:rPr>
          <w:rFonts w:ascii="Aptos Display" w:hAnsi="Aptos Display"/>
          <w:color w:val="1F4E79"/>
          <w:sz w:val="30"/>
        </w:rPr>
        <w:t>3. Universal Feasibility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GEN-001</w:t>
            </w:r>
          </w:p>
        </w:tc>
        <w:tc>
          <w:tcPr>
            <w:tcW w:type="dxa" w:w="2556"/>
            <w:vAlign w:val="center"/>
            <w:tcMar>
              <w:top w:w="90" w:type="dxa"/>
              <w:start w:w="90" w:type="dxa"/>
              <w:bottom w:w="90" w:type="dxa"/>
              <w:end w:w="90" w:type="dxa"/>
            </w:tcMar>
          </w:tcPr>
          <w:p>
            <w:pPr>
              <w:spacing w:after="40" w:before="40"/>
            </w:pPr>
            <w:r>
              <w:rPr>
                <w:rFonts w:ascii="Aptos" w:hAnsi="Aptos"/>
                <w:sz w:val="17"/>
              </w:rPr>
              <w:t>Compound must exist in inventory and have a traceable storage location.</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Compound ID, location</w:t>
            </w:r>
          </w:p>
        </w:tc>
      </w:tr>
      <w:tr>
        <w:tc>
          <w:tcPr>
            <w:tcW w:type="dxa" w:w="2556"/>
            <w:vAlign w:val="center"/>
            <w:tcMar>
              <w:top w:w="90" w:type="dxa"/>
              <w:start w:w="90" w:type="dxa"/>
              <w:bottom w:w="90" w:type="dxa"/>
              <w:end w:w="90" w:type="dxa"/>
            </w:tcMar>
          </w:tcPr>
          <w:p>
            <w:pPr>
              <w:spacing w:after="40" w:before="40"/>
            </w:pPr>
            <w:r>
              <w:rPr>
                <w:rFonts w:ascii="Aptos" w:hAnsi="Aptos"/>
                <w:sz w:val="17"/>
              </w:rPr>
              <w:t>GEN-002</w:t>
            </w:r>
          </w:p>
        </w:tc>
        <w:tc>
          <w:tcPr>
            <w:tcW w:type="dxa" w:w="2556"/>
            <w:vAlign w:val="center"/>
            <w:tcMar>
              <w:top w:w="90" w:type="dxa"/>
              <w:start w:w="90" w:type="dxa"/>
              <w:bottom w:w="90" w:type="dxa"/>
              <w:end w:w="90" w:type="dxa"/>
            </w:tcMar>
          </w:tcPr>
          <w:p>
            <w:pPr>
              <w:spacing w:after="40" w:before="40"/>
            </w:pPr>
            <w:r>
              <w:rPr>
                <w:rFonts w:ascii="Aptos" w:hAnsi="Aptos"/>
                <w:sz w:val="17"/>
              </w:rPr>
              <w:t>Inventory status must be Available.</w:t>
            </w:r>
          </w:p>
        </w:tc>
        <w:tc>
          <w:tcPr>
            <w:tcW w:type="dxa" w:w="2556"/>
            <w:vAlign w:val="center"/>
            <w:tcMar>
              <w:top w:w="90" w:type="dxa"/>
              <w:start w:w="90" w:type="dxa"/>
              <w:bottom w:w="90" w:type="dxa"/>
              <w:end w:w="90" w:type="dxa"/>
            </w:tcMar>
          </w:tcPr>
          <w:p>
            <w:pPr>
              <w:spacing w:after="40" w:before="40"/>
            </w:pPr>
            <w:r>
              <w:rPr>
                <w:rFonts w:ascii="Aptos" w:hAnsi="Aptos"/>
                <w:sz w:val="17"/>
              </w:rPr>
              <w:t>PASS if Available; BLOCK if unavailable, expired, low-volume, quarantined, in transit, or depleted.</w:t>
            </w:r>
          </w:p>
        </w:tc>
        <w:tc>
          <w:tcPr>
            <w:tcW w:type="dxa" w:w="2556"/>
            <w:vAlign w:val="center"/>
            <w:tcMar>
              <w:top w:w="90" w:type="dxa"/>
              <w:start w:w="90" w:type="dxa"/>
              <w:bottom w:w="90" w:type="dxa"/>
              <w:end w:w="90" w:type="dxa"/>
            </w:tcMar>
          </w:tcPr>
          <w:p>
            <w:pPr>
              <w:spacing w:after="40" w:before="40"/>
            </w:pPr>
            <w:r>
              <w:rPr>
                <w:rFonts w:ascii="Aptos" w:hAnsi="Aptos"/>
                <w:sz w:val="17"/>
              </w:rPr>
              <w:t>Inventory status</w:t>
            </w:r>
          </w:p>
        </w:tc>
      </w:tr>
      <w:tr>
        <w:tc>
          <w:tcPr>
            <w:tcW w:type="dxa" w:w="2556"/>
            <w:vAlign w:val="center"/>
            <w:tcMar>
              <w:top w:w="90" w:type="dxa"/>
              <w:start w:w="90" w:type="dxa"/>
              <w:bottom w:w="90" w:type="dxa"/>
              <w:end w:w="90" w:type="dxa"/>
            </w:tcMar>
          </w:tcPr>
          <w:p>
            <w:pPr>
              <w:spacing w:after="40" w:before="40"/>
            </w:pPr>
            <w:r>
              <w:rPr>
                <w:rFonts w:ascii="Aptos" w:hAnsi="Aptos"/>
                <w:sz w:val="17"/>
              </w:rPr>
              <w:t>GEN-003</w:t>
            </w:r>
          </w:p>
        </w:tc>
        <w:tc>
          <w:tcPr>
            <w:tcW w:type="dxa" w:w="2556"/>
            <w:vAlign w:val="center"/>
            <w:tcMar>
              <w:top w:w="90" w:type="dxa"/>
              <w:start w:w="90" w:type="dxa"/>
              <w:bottom w:w="90" w:type="dxa"/>
              <w:end w:w="90" w:type="dxa"/>
            </w:tcMar>
          </w:tcPr>
          <w:p>
            <w:pPr>
              <w:spacing w:after="40" w:before="40"/>
            </w:pPr>
            <w:r>
              <w:rPr>
                <w:rFonts w:ascii="Aptos" w:hAnsi="Aptos"/>
                <w:sz w:val="17"/>
              </w:rPr>
              <w:t>Compound must not be expired on request date.</w:t>
            </w:r>
          </w:p>
        </w:tc>
        <w:tc>
          <w:tcPr>
            <w:tcW w:type="dxa" w:w="2556"/>
            <w:vAlign w:val="center"/>
            <w:tcMar>
              <w:top w:w="90" w:type="dxa"/>
              <w:start w:w="90" w:type="dxa"/>
              <w:bottom w:w="90" w:type="dxa"/>
              <w:end w:w="90" w:type="dxa"/>
            </w:tcMar>
          </w:tcPr>
          <w:p>
            <w:pPr>
              <w:spacing w:after="40" w:before="40"/>
            </w:pPr>
            <w:r>
              <w:rPr>
                <w:rFonts w:ascii="Aptos" w:hAnsi="Aptos"/>
                <w:sz w:val="17"/>
              </w:rPr>
              <w:t>PASS when expiration is valid; BLOCK when expired.</w:t>
            </w:r>
          </w:p>
        </w:tc>
        <w:tc>
          <w:tcPr>
            <w:tcW w:type="dxa" w:w="2556"/>
            <w:vAlign w:val="center"/>
            <w:tcMar>
              <w:top w:w="90" w:type="dxa"/>
              <w:start w:w="90" w:type="dxa"/>
              <w:bottom w:w="90" w:type="dxa"/>
              <w:end w:w="90" w:type="dxa"/>
            </w:tcMar>
          </w:tcPr>
          <w:p>
            <w:pPr>
              <w:spacing w:after="40" w:before="40"/>
            </w:pPr>
            <w:r>
              <w:rPr>
                <w:rFonts w:ascii="Aptos" w:hAnsi="Aptos"/>
                <w:sz w:val="17"/>
              </w:rPr>
              <w:t>Expiration date, request date</w:t>
            </w:r>
          </w:p>
        </w:tc>
      </w:tr>
      <w:tr>
        <w:tc>
          <w:tcPr>
            <w:tcW w:type="dxa" w:w="2556"/>
            <w:vAlign w:val="center"/>
            <w:tcMar>
              <w:top w:w="90" w:type="dxa"/>
              <w:start w:w="90" w:type="dxa"/>
              <w:bottom w:w="90" w:type="dxa"/>
              <w:end w:w="90" w:type="dxa"/>
            </w:tcMar>
          </w:tcPr>
          <w:p>
            <w:pPr>
              <w:spacing w:after="40" w:before="40"/>
            </w:pPr>
            <w:r>
              <w:rPr>
                <w:rFonts w:ascii="Aptos" w:hAnsi="Aptos"/>
                <w:sz w:val="17"/>
              </w:rPr>
              <w:t>GEN-004</w:t>
            </w:r>
          </w:p>
        </w:tc>
        <w:tc>
          <w:tcPr>
            <w:tcW w:type="dxa" w:w="2556"/>
            <w:vAlign w:val="center"/>
            <w:tcMar>
              <w:top w:w="90" w:type="dxa"/>
              <w:start w:w="90" w:type="dxa"/>
              <w:bottom w:w="90" w:type="dxa"/>
              <w:end w:w="90" w:type="dxa"/>
            </w:tcMar>
          </w:tcPr>
          <w:p>
            <w:pPr>
              <w:spacing w:after="40" w:before="40"/>
            </w:pPr>
            <w:r>
              <w:rPr>
                <w:rFonts w:ascii="Aptos" w:hAnsi="Aptos"/>
                <w:sz w:val="17"/>
              </w:rPr>
              <w:t>Freeze-thaw count must be within allowed limit.</w:t>
            </w:r>
          </w:p>
        </w:tc>
        <w:tc>
          <w:tcPr>
            <w:tcW w:type="dxa" w:w="2556"/>
            <w:vAlign w:val="center"/>
            <w:tcMar>
              <w:top w:w="90" w:type="dxa"/>
              <w:start w:w="90" w:type="dxa"/>
              <w:bottom w:w="90" w:type="dxa"/>
              <w:end w:w="90" w:type="dxa"/>
            </w:tcMar>
          </w:tcPr>
          <w:p>
            <w:pPr>
              <w:spacing w:after="40" w:before="40"/>
            </w:pPr>
            <w:r>
              <w:rPr>
                <w:rFonts w:ascii="Aptos" w:hAnsi="Aptos"/>
                <w:sz w:val="17"/>
              </w:rPr>
              <w:t>PASS at 0-4 cycles; BLOCK at 5 or more; insufficient if missing.</w:t>
            </w:r>
          </w:p>
        </w:tc>
        <w:tc>
          <w:tcPr>
            <w:tcW w:type="dxa" w:w="2556"/>
            <w:vAlign w:val="center"/>
            <w:tcMar>
              <w:top w:w="90" w:type="dxa"/>
              <w:start w:w="90" w:type="dxa"/>
              <w:bottom w:w="90" w:type="dxa"/>
              <w:end w:w="90" w:type="dxa"/>
            </w:tcMar>
          </w:tcPr>
          <w:p>
            <w:pPr>
              <w:spacing w:after="40" w:before="40"/>
            </w:pPr>
            <w:r>
              <w:rPr>
                <w:rFonts w:ascii="Aptos" w:hAnsi="Aptos"/>
                <w:sz w:val="17"/>
              </w:rPr>
              <w:t>Freeze-thaw count, rule limit</w:t>
            </w:r>
          </w:p>
        </w:tc>
      </w:tr>
      <w:tr>
        <w:tc>
          <w:tcPr>
            <w:tcW w:type="dxa" w:w="2556"/>
            <w:vAlign w:val="center"/>
            <w:tcMar>
              <w:top w:w="90" w:type="dxa"/>
              <w:start w:w="90" w:type="dxa"/>
              <w:bottom w:w="90" w:type="dxa"/>
              <w:end w:w="90" w:type="dxa"/>
            </w:tcMar>
          </w:tcPr>
          <w:p>
            <w:pPr>
              <w:spacing w:after="40" w:before="40"/>
            </w:pPr>
            <w:r>
              <w:rPr>
                <w:rFonts w:ascii="Aptos" w:hAnsi="Aptos"/>
                <w:sz w:val="17"/>
              </w:rPr>
              <w:t>GEN-005</w:t>
            </w:r>
          </w:p>
        </w:tc>
        <w:tc>
          <w:tcPr>
            <w:tcW w:type="dxa" w:w="2556"/>
            <w:vAlign w:val="center"/>
            <w:tcMar>
              <w:top w:w="90" w:type="dxa"/>
              <w:start w:w="90" w:type="dxa"/>
              <w:bottom w:w="90" w:type="dxa"/>
              <w:end w:w="90" w:type="dxa"/>
            </w:tcMar>
          </w:tcPr>
          <w:p>
            <w:pPr>
              <w:spacing w:after="40" w:before="40"/>
            </w:pPr>
            <w:r>
              <w:rPr>
                <w:rFonts w:ascii="Aptos" w:hAnsi="Aptos"/>
                <w:sz w:val="17"/>
              </w:rPr>
              <w:t>Required volume must not exceed usable volume after residual volume is reserved.</w:t>
            </w:r>
          </w:p>
        </w:tc>
        <w:tc>
          <w:tcPr>
            <w:tcW w:type="dxa" w:w="2556"/>
            <w:vAlign w:val="center"/>
            <w:tcMar>
              <w:top w:w="90" w:type="dxa"/>
              <w:start w:w="90" w:type="dxa"/>
              <w:bottom w:w="90" w:type="dxa"/>
              <w:end w:w="90" w:type="dxa"/>
            </w:tcMar>
          </w:tcPr>
          <w:p>
            <w:pPr>
              <w:spacing w:after="40" w:before="40"/>
            </w:pPr>
            <w:r>
              <w:rPr>
                <w:rFonts w:ascii="Aptos" w:hAnsi="Aptos"/>
                <w:sz w:val="17"/>
              </w:rPr>
              <w:t>PASS if required &lt;= usable; BLOCK if required &gt; usable.</w:t>
            </w:r>
          </w:p>
        </w:tc>
        <w:tc>
          <w:tcPr>
            <w:tcW w:type="dxa" w:w="2556"/>
            <w:vAlign w:val="center"/>
            <w:tcMar>
              <w:top w:w="90" w:type="dxa"/>
              <w:start w:w="90" w:type="dxa"/>
              <w:bottom w:w="90" w:type="dxa"/>
              <w:end w:w="90" w:type="dxa"/>
            </w:tcMar>
          </w:tcPr>
          <w:p>
            <w:pPr>
              <w:spacing w:after="40" w:before="40"/>
            </w:pPr>
            <w:r>
              <w:rPr>
                <w:rFonts w:ascii="Aptos" w:hAnsi="Aptos"/>
                <w:sz w:val="17"/>
              </w:rPr>
              <w:t>Available, residual, usable, required volume</w:t>
            </w:r>
          </w:p>
        </w:tc>
      </w:tr>
      <w:tr>
        <w:tc>
          <w:tcPr>
            <w:tcW w:type="dxa" w:w="2556"/>
            <w:vAlign w:val="center"/>
            <w:tcMar>
              <w:top w:w="90" w:type="dxa"/>
              <w:start w:w="90" w:type="dxa"/>
              <w:bottom w:w="90" w:type="dxa"/>
              <w:end w:w="90" w:type="dxa"/>
            </w:tcMar>
          </w:tcPr>
          <w:p>
            <w:pPr>
              <w:spacing w:after="40" w:before="40"/>
            </w:pPr>
            <w:r>
              <w:rPr>
                <w:rFonts w:ascii="Aptos" w:hAnsi="Aptos"/>
                <w:sz w:val="17"/>
              </w:rPr>
              <w:t>GEN-006</w:t>
            </w:r>
          </w:p>
        </w:tc>
        <w:tc>
          <w:tcPr>
            <w:tcW w:type="dxa" w:w="2556"/>
            <w:vAlign w:val="center"/>
            <w:tcMar>
              <w:top w:w="90" w:type="dxa"/>
              <w:start w:w="90" w:type="dxa"/>
              <w:bottom w:w="90" w:type="dxa"/>
              <w:end w:w="90" w:type="dxa"/>
            </w:tcMar>
          </w:tcPr>
          <w:p>
            <w:pPr>
              <w:spacing w:after="40" w:before="40"/>
            </w:pPr>
            <w:r>
              <w:rPr>
                <w:rFonts w:ascii="Aptos" w:hAnsi="Aptos"/>
                <w:sz w:val="17"/>
              </w:rPr>
              <w:t>Container or plate must be visually acceptable if inspection information is recorded.</w:t>
            </w:r>
          </w:p>
        </w:tc>
        <w:tc>
          <w:tcPr>
            <w:tcW w:type="dxa" w:w="2556"/>
            <w:vAlign w:val="center"/>
            <w:tcMar>
              <w:top w:w="90" w:type="dxa"/>
              <w:start w:w="90" w:type="dxa"/>
              <w:bottom w:w="90" w:type="dxa"/>
              <w:end w:w="90" w:type="dxa"/>
            </w:tcMar>
          </w:tcPr>
          <w:p>
            <w:pPr>
              <w:spacing w:after="40" w:before="40"/>
            </w:pPr>
            <w:r>
              <w:rPr>
                <w:rFonts w:ascii="Aptos" w:hAnsi="Aptos"/>
                <w:sz w:val="17"/>
              </w:rPr>
              <w:t>BLOCK if precipitation, phase separation, leakage, failed seal, or compromise is recorded.</w:t>
            </w:r>
          </w:p>
        </w:tc>
        <w:tc>
          <w:tcPr>
            <w:tcW w:type="dxa" w:w="2556"/>
            <w:vAlign w:val="center"/>
            <w:tcMar>
              <w:top w:w="90" w:type="dxa"/>
              <w:start w:w="90" w:type="dxa"/>
              <w:bottom w:w="90" w:type="dxa"/>
              <w:end w:w="90" w:type="dxa"/>
            </w:tcMar>
          </w:tcPr>
          <w:p>
            <w:pPr>
              <w:spacing w:after="40" w:before="40"/>
            </w:pPr>
            <w:r>
              <w:rPr>
                <w:rFonts w:ascii="Aptos" w:hAnsi="Aptos"/>
                <w:sz w:val="17"/>
              </w:rPr>
              <w:t>Inspection status or handling note</w:t>
            </w:r>
          </w:p>
        </w:tc>
      </w:tr>
    </w:tbl>
    <w:p/>
    <w:p>
      <w:pPr>
        <w:pStyle w:val="Heading1"/>
      </w:pPr>
      <w:r>
        <w:rPr>
          <w:rFonts w:ascii="Aptos Display" w:hAnsi="Aptos Display"/>
          <w:color w:val="1F4E79"/>
          <w:sz w:val="30"/>
        </w:rPr>
        <w:t>4. Universal Decision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90" w:type="dxa"/>
              <w:start w:w="90" w:type="dxa"/>
              <w:bottom w:w="90" w:type="dxa"/>
              <w:end w:w="90" w:type="dxa"/>
            </w:tcMar>
            <w:shd w:fill="1F4E79"/>
          </w:tcPr>
          <w:p>
            <w:pPr>
              <w:spacing w:after="40" w:before="40"/>
            </w:pPr>
            <w:r>
              <w:rPr>
                <w:rFonts w:ascii="Aptos" w:hAnsi="Aptos"/>
                <w:b/>
                <w:color w:val="FFFFFF"/>
                <w:sz w:val="17"/>
              </w:rPr>
              <w:t>Decision</w:t>
            </w:r>
          </w:p>
        </w:tc>
        <w:tc>
          <w:tcPr>
            <w:tcW w:type="dxa" w:w="5112"/>
            <w:vAlign w:val="center"/>
            <w:tcMar>
              <w:top w:w="90" w:type="dxa"/>
              <w:start w:w="90" w:type="dxa"/>
              <w:bottom w:w="90" w:type="dxa"/>
              <w:end w:w="90" w:type="dxa"/>
            </w:tcMar>
            <w:shd w:fill="1F4E79"/>
          </w:tcPr>
          <w:p>
            <w:pPr>
              <w:spacing w:after="40" w:before="40"/>
            </w:pPr>
            <w:r>
              <w:rPr>
                <w:rFonts w:ascii="Aptos" w:hAnsi="Aptos"/>
                <w:b/>
                <w:color w:val="FFFFFF"/>
                <w:sz w:val="17"/>
              </w:rPr>
              <w:t>Definition</w:t>
            </w:r>
          </w:p>
        </w:tc>
      </w:tr>
      <w:tr>
        <w:tc>
          <w:tcPr>
            <w:tcW w:type="dxa" w:w="5112"/>
            <w:vAlign w:val="center"/>
            <w:tcMar>
              <w:top w:w="90" w:type="dxa"/>
              <w:start w:w="90" w:type="dxa"/>
              <w:bottom w:w="90" w:type="dxa"/>
              <w:end w:w="90" w:type="dxa"/>
            </w:tcMar>
          </w:tcPr>
          <w:p>
            <w:pPr>
              <w:spacing w:after="40" w:before="40"/>
            </w:pPr>
            <w:r>
              <w:rPr>
                <w:rFonts w:ascii="Aptos" w:hAnsi="Aptos"/>
                <w:sz w:val="17"/>
              </w:rPr>
              <w:t>PASS</w:t>
            </w:r>
          </w:p>
        </w:tc>
        <w:tc>
          <w:tcPr>
            <w:tcW w:type="dxa" w:w="5112"/>
            <w:vAlign w:val="center"/>
            <w:tcMar>
              <w:top w:w="90" w:type="dxa"/>
              <w:start w:w="90" w:type="dxa"/>
              <w:bottom w:w="90" w:type="dxa"/>
              <w:end w:w="90" w:type="dxa"/>
            </w:tcMar>
          </w:tcPr>
          <w:p>
            <w:pPr>
              <w:spacing w:after="40" w:before="40"/>
            </w:pPr>
            <w:r>
              <w:rPr>
                <w:rFonts w:ascii="Aptos" w:hAnsi="Aptos"/>
                <w:sz w:val="17"/>
              </w:rPr>
              <w:t>The check meets all requirements.</w:t>
            </w:r>
          </w:p>
        </w:tc>
      </w:tr>
      <w:tr>
        <w:tc>
          <w:tcPr>
            <w:tcW w:type="dxa" w:w="5112"/>
            <w:vAlign w:val="center"/>
            <w:tcMar>
              <w:top w:w="90" w:type="dxa"/>
              <w:start w:w="90" w:type="dxa"/>
              <w:bottom w:w="90" w:type="dxa"/>
              <w:end w:w="90" w:type="dxa"/>
            </w:tcMar>
          </w:tcPr>
          <w:p>
            <w:pPr>
              <w:spacing w:after="40" w:before="40"/>
            </w:pPr>
            <w:r>
              <w:rPr>
                <w:rFonts w:ascii="Aptos" w:hAnsi="Aptos"/>
                <w:sz w:val="17"/>
              </w:rPr>
              <w:t>WARNING</w:t>
            </w:r>
          </w:p>
        </w:tc>
        <w:tc>
          <w:tcPr>
            <w:tcW w:type="dxa" w:w="5112"/>
            <w:vAlign w:val="center"/>
            <w:tcMar>
              <w:top w:w="90" w:type="dxa"/>
              <w:start w:w="90" w:type="dxa"/>
              <w:bottom w:w="90" w:type="dxa"/>
              <w:end w:w="90" w:type="dxa"/>
            </w:tcMar>
          </w:tcPr>
          <w:p>
            <w:pPr>
              <w:spacing w:after="40" w:before="40"/>
            </w:pPr>
            <w:r>
              <w:rPr>
                <w:rFonts w:ascii="Aptos" w:hAnsi="Aptos"/>
                <w:sz w:val="17"/>
              </w:rPr>
              <w:t>The material or plate may be usable, but review or caution is recommended.</w:t>
            </w:r>
          </w:p>
        </w:tc>
      </w:tr>
      <w:tr>
        <w:tc>
          <w:tcPr>
            <w:tcW w:type="dxa" w:w="5112"/>
            <w:vAlign w:val="center"/>
            <w:tcMar>
              <w:top w:w="90" w:type="dxa"/>
              <w:start w:w="90" w:type="dxa"/>
              <w:bottom w:w="90" w:type="dxa"/>
              <w:end w:w="90" w:type="dxa"/>
            </w:tcMar>
          </w:tcPr>
          <w:p>
            <w:pPr>
              <w:spacing w:after="40" w:before="40"/>
            </w:pPr>
            <w:r>
              <w:rPr>
                <w:rFonts w:ascii="Aptos" w:hAnsi="Aptos"/>
                <w:sz w:val="17"/>
              </w:rPr>
              <w:t>BLOCK</w:t>
            </w:r>
          </w:p>
        </w:tc>
        <w:tc>
          <w:tcPr>
            <w:tcW w:type="dxa" w:w="5112"/>
            <w:vAlign w:val="center"/>
            <w:tcMar>
              <w:top w:w="90" w:type="dxa"/>
              <w:start w:w="90" w:type="dxa"/>
              <w:bottom w:w="90" w:type="dxa"/>
              <w:end w:w="90" w:type="dxa"/>
            </w:tcMar>
          </w:tcPr>
          <w:p>
            <w:pPr>
              <w:spacing w:after="40" w:before="40"/>
            </w:pPr>
            <w:r>
              <w:rPr>
                <w:rFonts w:ascii="Aptos" w:hAnsi="Aptos"/>
                <w:sz w:val="17"/>
              </w:rPr>
              <w:t>The material or plate should not be dispensed, stored, shipped, or used under the current conditions.</w:t>
            </w:r>
          </w:p>
        </w:tc>
      </w:tr>
      <w:tr>
        <w:tc>
          <w:tcPr>
            <w:tcW w:type="dxa" w:w="5112"/>
            <w:vAlign w:val="center"/>
            <w:tcMar>
              <w:top w:w="90" w:type="dxa"/>
              <w:start w:w="90" w:type="dxa"/>
              <w:bottom w:w="90" w:type="dxa"/>
              <w:end w:w="90" w:type="dxa"/>
            </w:tcMar>
          </w:tcPr>
          <w:p>
            <w:pPr>
              <w:spacing w:after="40" w:before="40"/>
            </w:pPr>
            <w:r>
              <w:rPr>
                <w:rFonts w:ascii="Aptos" w:hAnsi="Aptos"/>
                <w:sz w:val="17"/>
              </w:rPr>
              <w:t>INSUFFICIENT INFORMATION</w:t>
            </w:r>
          </w:p>
        </w:tc>
        <w:tc>
          <w:tcPr>
            <w:tcW w:type="dxa" w:w="5112"/>
            <w:vAlign w:val="center"/>
            <w:tcMar>
              <w:top w:w="90" w:type="dxa"/>
              <w:start w:w="90" w:type="dxa"/>
              <w:bottom w:w="90" w:type="dxa"/>
              <w:end w:w="90" w:type="dxa"/>
            </w:tcMar>
          </w:tcPr>
          <w:p>
            <w:pPr>
              <w:spacing w:after="40" w:before="40"/>
            </w:pPr>
            <w:r>
              <w:rPr>
                <w:rFonts w:ascii="Aptos" w:hAnsi="Aptos"/>
                <w:sz w:val="17"/>
              </w:rPr>
              <w:t>A required field is missing or invalid; the app should not assume feasibility.</w:t>
            </w:r>
          </w:p>
        </w:tc>
      </w:tr>
      <w:tr>
        <w:tc>
          <w:tcPr>
            <w:tcW w:type="dxa" w:w="5112"/>
            <w:vAlign w:val="center"/>
            <w:tcMar>
              <w:top w:w="90" w:type="dxa"/>
              <w:start w:w="90" w:type="dxa"/>
              <w:bottom w:w="90" w:type="dxa"/>
              <w:end w:w="90" w:type="dxa"/>
            </w:tcMar>
          </w:tcPr>
          <w:p>
            <w:pPr>
              <w:spacing w:after="40" w:before="40"/>
            </w:pPr>
            <w:r>
              <w:rPr>
                <w:rFonts w:ascii="Aptos" w:hAnsi="Aptos"/>
                <w:sz w:val="17"/>
              </w:rPr>
              <w:t>FEASIBLE</w:t>
            </w:r>
          </w:p>
        </w:tc>
        <w:tc>
          <w:tcPr>
            <w:tcW w:type="dxa" w:w="5112"/>
            <w:vAlign w:val="center"/>
            <w:tcMar>
              <w:top w:w="90" w:type="dxa"/>
              <w:start w:w="90" w:type="dxa"/>
              <w:bottom w:w="90" w:type="dxa"/>
              <w:end w:w="90" w:type="dxa"/>
            </w:tcMar>
          </w:tcPr>
          <w:p>
            <w:pPr>
              <w:spacing w:after="40" w:before="40"/>
            </w:pPr>
            <w:r>
              <w:rPr>
                <w:rFonts w:ascii="Aptos" w:hAnsi="Aptos"/>
                <w:sz w:val="17"/>
              </w:rPr>
              <w:t>All blocking checks pass.</w:t>
            </w:r>
          </w:p>
        </w:tc>
      </w:tr>
      <w:tr>
        <w:tc>
          <w:tcPr>
            <w:tcW w:type="dxa" w:w="5112"/>
            <w:vAlign w:val="center"/>
            <w:tcMar>
              <w:top w:w="90" w:type="dxa"/>
              <w:start w:w="90" w:type="dxa"/>
              <w:bottom w:w="90" w:type="dxa"/>
              <w:end w:w="90" w:type="dxa"/>
            </w:tcMar>
          </w:tcPr>
          <w:p>
            <w:pPr>
              <w:spacing w:after="40" w:before="40"/>
            </w:pPr>
            <w:r>
              <w:rPr>
                <w:rFonts w:ascii="Aptos" w:hAnsi="Aptos"/>
                <w:sz w:val="17"/>
              </w:rPr>
              <w:t>FEASIBLE WITH WARNING</w:t>
            </w:r>
          </w:p>
        </w:tc>
        <w:tc>
          <w:tcPr>
            <w:tcW w:type="dxa" w:w="5112"/>
            <w:vAlign w:val="center"/>
            <w:tcMar>
              <w:top w:w="90" w:type="dxa"/>
              <w:start w:w="90" w:type="dxa"/>
              <w:bottom w:w="90" w:type="dxa"/>
              <w:end w:w="90" w:type="dxa"/>
            </w:tcMar>
          </w:tcPr>
          <w:p>
            <w:pPr>
              <w:spacing w:after="40" w:before="40"/>
            </w:pPr>
            <w:r>
              <w:rPr>
                <w:rFonts w:ascii="Aptos" w:hAnsi="Aptos"/>
                <w:sz w:val="17"/>
              </w:rPr>
              <w:t>No blocking rule failed, but at least one warning check requires review.</w:t>
            </w:r>
          </w:p>
        </w:tc>
      </w:tr>
      <w:tr>
        <w:tc>
          <w:tcPr>
            <w:tcW w:type="dxa" w:w="5112"/>
            <w:vAlign w:val="center"/>
            <w:tcMar>
              <w:top w:w="90" w:type="dxa"/>
              <w:start w:w="90" w:type="dxa"/>
              <w:bottom w:w="90" w:type="dxa"/>
              <w:end w:w="90" w:type="dxa"/>
            </w:tcMar>
          </w:tcPr>
          <w:p>
            <w:pPr>
              <w:spacing w:after="40" w:before="40"/>
            </w:pPr>
            <w:r>
              <w:rPr>
                <w:rFonts w:ascii="Aptos" w:hAnsi="Aptos"/>
                <w:sz w:val="17"/>
              </w:rPr>
              <w:t>NOT FEASIBLE</w:t>
            </w:r>
          </w:p>
        </w:tc>
        <w:tc>
          <w:tcPr>
            <w:tcW w:type="dxa" w:w="5112"/>
            <w:vAlign w:val="center"/>
            <w:tcMar>
              <w:top w:w="90" w:type="dxa"/>
              <w:start w:w="90" w:type="dxa"/>
              <w:bottom w:w="90" w:type="dxa"/>
              <w:end w:w="90" w:type="dxa"/>
            </w:tcMar>
          </w:tcPr>
          <w:p>
            <w:pPr>
              <w:spacing w:after="40" w:before="40"/>
            </w:pPr>
            <w:r>
              <w:rPr>
                <w:rFonts w:ascii="Aptos" w:hAnsi="Aptos"/>
                <w:sz w:val="17"/>
              </w:rPr>
              <w:t>At least one blocking rule failed.</w:t>
            </w:r>
          </w:p>
        </w:tc>
      </w:tr>
    </w:tbl>
    <w:p>
      <w:pPr>
        <w:pStyle w:val="Heading1"/>
      </w:pPr>
      <w:r>
        <w:rPr>
          <w:rFonts w:ascii="Aptos Display" w:hAnsi="Aptos Display"/>
          <w:color w:val="1F4E79"/>
          <w:sz w:val="30"/>
        </w:rPr>
        <w:t>5. DMSO Handling SOP</w:t>
      </w:r>
    </w:p>
    <w:p>
      <w:r>
        <w:t>DMSO is commonly used for small-molecule stocks and acoustic dispensing workflows because many compounds are soluble in DMSO and the solvent can be normalized by backfill or vehicle controls.</w:t>
      </w:r>
    </w:p>
    <w:p>
      <w:pPr>
        <w:pStyle w:val="Heading2"/>
      </w:pPr>
      <w:r>
        <w:rPr>
          <w:rFonts w:ascii="Aptos Display" w:hAnsi="Aptos Display"/>
          <w:color w:val="2F5496"/>
          <w:sz w:val="25"/>
        </w:rPr>
        <w:t>Business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DMSO-001</w:t>
            </w:r>
          </w:p>
        </w:tc>
        <w:tc>
          <w:tcPr>
            <w:tcW w:type="dxa" w:w="2556"/>
            <w:vAlign w:val="center"/>
            <w:tcMar>
              <w:top w:w="90" w:type="dxa"/>
              <w:start w:w="90" w:type="dxa"/>
              <w:bottom w:w="90" w:type="dxa"/>
              <w:end w:w="90" w:type="dxa"/>
            </w:tcMar>
          </w:tcPr>
          <w:p>
            <w:pPr>
              <w:spacing w:after="40" w:before="40"/>
            </w:pPr>
            <w:r>
              <w:rPr>
                <w:rFonts w:ascii="Aptos" w:hAnsi="Aptos"/>
                <w:sz w:val="17"/>
              </w:rPr>
              <w:t>Final assay DMSO must be &lt;= 0.5% v/v.</w:t>
            </w:r>
          </w:p>
        </w:tc>
        <w:tc>
          <w:tcPr>
            <w:tcW w:type="dxa" w:w="2556"/>
            <w:vAlign w:val="center"/>
            <w:tcMar>
              <w:top w:w="90" w:type="dxa"/>
              <w:start w:w="90" w:type="dxa"/>
              <w:bottom w:w="90" w:type="dxa"/>
              <w:end w:w="90" w:type="dxa"/>
            </w:tcMar>
          </w:tcPr>
          <w:p>
            <w:pPr>
              <w:spacing w:after="40" w:before="40"/>
            </w:pPr>
            <w:r>
              <w:rPr>
                <w:rFonts w:ascii="Aptos" w:hAnsi="Aptos"/>
                <w:sz w:val="17"/>
              </w:rPr>
              <w:t>PASS at or below 0.5%; BLOCK above limit unless approved exception exists.</w:t>
            </w:r>
          </w:p>
        </w:tc>
        <w:tc>
          <w:tcPr>
            <w:tcW w:type="dxa" w:w="2556"/>
            <w:vAlign w:val="center"/>
            <w:tcMar>
              <w:top w:w="90" w:type="dxa"/>
              <w:start w:w="90" w:type="dxa"/>
              <w:bottom w:w="90" w:type="dxa"/>
              <w:end w:w="90" w:type="dxa"/>
            </w:tcMar>
          </w:tcPr>
          <w:p>
            <w:pPr>
              <w:spacing w:after="40" w:before="40"/>
            </w:pPr>
            <w:r>
              <w:rPr>
                <w:rFonts w:ascii="Aptos" w:hAnsi="Aptos"/>
                <w:sz w:val="17"/>
              </w:rPr>
              <w:t>Calculated DMSO %, limit, result</w:t>
            </w:r>
          </w:p>
        </w:tc>
      </w:tr>
      <w:tr>
        <w:tc>
          <w:tcPr>
            <w:tcW w:type="dxa" w:w="2556"/>
            <w:vAlign w:val="center"/>
            <w:tcMar>
              <w:top w:w="90" w:type="dxa"/>
              <w:start w:w="90" w:type="dxa"/>
              <w:bottom w:w="90" w:type="dxa"/>
              <w:end w:w="90" w:type="dxa"/>
            </w:tcMar>
          </w:tcPr>
          <w:p>
            <w:pPr>
              <w:spacing w:after="40" w:before="40"/>
            </w:pPr>
            <w:r>
              <w:rPr>
                <w:rFonts w:ascii="Aptos" w:hAnsi="Aptos"/>
                <w:sz w:val="17"/>
              </w:rPr>
              <w:t>DMSO-002</w:t>
            </w:r>
          </w:p>
        </w:tc>
        <w:tc>
          <w:tcPr>
            <w:tcW w:type="dxa" w:w="2556"/>
            <w:vAlign w:val="center"/>
            <w:tcMar>
              <w:top w:w="90" w:type="dxa"/>
              <w:start w:w="90" w:type="dxa"/>
              <w:bottom w:w="90" w:type="dxa"/>
              <w:end w:w="90" w:type="dxa"/>
            </w:tcMar>
          </w:tcPr>
          <w:p>
            <w:pPr>
              <w:spacing w:after="40" w:before="40"/>
            </w:pPr>
            <w:r>
              <w:rPr>
                <w:rFonts w:ascii="Aptos" w:hAnsi="Aptos"/>
                <w:sz w:val="17"/>
              </w:rPr>
              <w:t>Intermediate dilution DMSO should remain &lt;= 10% v/v.</w:t>
            </w:r>
          </w:p>
        </w:tc>
        <w:tc>
          <w:tcPr>
            <w:tcW w:type="dxa" w:w="2556"/>
            <w:vAlign w:val="center"/>
            <w:tcMar>
              <w:top w:w="90" w:type="dxa"/>
              <w:start w:w="90" w:type="dxa"/>
              <w:bottom w:w="90" w:type="dxa"/>
              <w:end w:w="90" w:type="dxa"/>
            </w:tcMar>
          </w:tcPr>
          <w:p>
            <w:pPr>
              <w:spacing w:after="40" w:before="40"/>
            </w:pPr>
            <w:r>
              <w:rPr>
                <w:rFonts w:ascii="Aptos" w:hAnsi="Aptos"/>
                <w:sz w:val="17"/>
              </w:rPr>
              <w:t>PASS at or below 10%; WARNING above 10% and require reformulation or exception review.</w:t>
            </w:r>
          </w:p>
        </w:tc>
        <w:tc>
          <w:tcPr>
            <w:tcW w:type="dxa" w:w="2556"/>
            <w:vAlign w:val="center"/>
            <w:tcMar>
              <w:top w:w="90" w:type="dxa"/>
              <w:start w:w="90" w:type="dxa"/>
              <w:bottom w:w="90" w:type="dxa"/>
              <w:end w:w="90" w:type="dxa"/>
            </w:tcMar>
          </w:tcPr>
          <w:p>
            <w:pPr>
              <w:spacing w:after="40" w:before="40"/>
            </w:pPr>
            <w:r>
              <w:rPr>
                <w:rFonts w:ascii="Aptos" w:hAnsi="Aptos"/>
                <w:sz w:val="17"/>
              </w:rPr>
              <w:t>Intermediate DMSO %, limit, warning</w:t>
            </w:r>
          </w:p>
        </w:tc>
      </w:tr>
      <w:tr>
        <w:tc>
          <w:tcPr>
            <w:tcW w:type="dxa" w:w="2556"/>
            <w:vAlign w:val="center"/>
            <w:tcMar>
              <w:top w:w="90" w:type="dxa"/>
              <w:start w:w="90" w:type="dxa"/>
              <w:bottom w:w="90" w:type="dxa"/>
              <w:end w:w="90" w:type="dxa"/>
            </w:tcMar>
          </w:tcPr>
          <w:p>
            <w:pPr>
              <w:spacing w:after="40" w:before="40"/>
            </w:pPr>
            <w:r>
              <w:rPr>
                <w:rFonts w:ascii="Aptos" w:hAnsi="Aptos"/>
                <w:sz w:val="17"/>
              </w:rPr>
              <w:t>DMSO-003</w:t>
            </w:r>
          </w:p>
        </w:tc>
        <w:tc>
          <w:tcPr>
            <w:tcW w:type="dxa" w:w="2556"/>
            <w:vAlign w:val="center"/>
            <w:tcMar>
              <w:top w:w="90" w:type="dxa"/>
              <w:start w:w="90" w:type="dxa"/>
              <w:bottom w:w="90" w:type="dxa"/>
              <w:end w:w="90" w:type="dxa"/>
            </w:tcMar>
          </w:tcPr>
          <w:p>
            <w:pPr>
              <w:spacing w:after="40" w:before="40"/>
            </w:pPr>
            <w:r>
              <w:rPr>
                <w:rFonts w:ascii="Aptos" w:hAnsi="Aptos"/>
                <w:sz w:val="17"/>
              </w:rPr>
              <w:t>Vehicle controls should match the highest DMSO level used in test wells.</w:t>
            </w:r>
          </w:p>
        </w:tc>
        <w:tc>
          <w:tcPr>
            <w:tcW w:type="dxa" w:w="2556"/>
            <w:vAlign w:val="center"/>
            <w:tcMar>
              <w:top w:w="90" w:type="dxa"/>
              <w:start w:w="90" w:type="dxa"/>
              <w:bottom w:w="90" w:type="dxa"/>
              <w:end w:w="90" w:type="dxa"/>
            </w:tcMar>
          </w:tcPr>
          <w:p>
            <w:pPr>
              <w:spacing w:after="40" w:before="40"/>
            </w:pPr>
            <w:r>
              <w:rPr>
                <w:rFonts w:ascii="Aptos" w:hAnsi="Aptos"/>
                <w:sz w:val="17"/>
              </w:rPr>
              <w:t>WARNING when matched vehicle control is missing.</w:t>
            </w:r>
          </w:p>
        </w:tc>
        <w:tc>
          <w:tcPr>
            <w:tcW w:type="dxa" w:w="2556"/>
            <w:vAlign w:val="center"/>
            <w:tcMar>
              <w:top w:w="90" w:type="dxa"/>
              <w:start w:w="90" w:type="dxa"/>
              <w:bottom w:w="90" w:type="dxa"/>
              <w:end w:w="90" w:type="dxa"/>
            </w:tcMar>
          </w:tcPr>
          <w:p>
            <w:pPr>
              <w:spacing w:after="40" w:before="40"/>
            </w:pPr>
            <w:r>
              <w:rPr>
                <w:rFonts w:ascii="Aptos" w:hAnsi="Aptos"/>
                <w:sz w:val="17"/>
              </w:rPr>
              <w:t>Control wells, highest DMSO %</w:t>
            </w:r>
          </w:p>
        </w:tc>
      </w:tr>
      <w:tr>
        <w:tc>
          <w:tcPr>
            <w:tcW w:type="dxa" w:w="2556"/>
            <w:vAlign w:val="center"/>
            <w:tcMar>
              <w:top w:w="90" w:type="dxa"/>
              <w:start w:w="90" w:type="dxa"/>
              <w:bottom w:w="90" w:type="dxa"/>
              <w:end w:w="90" w:type="dxa"/>
            </w:tcMar>
          </w:tcPr>
          <w:p>
            <w:pPr>
              <w:spacing w:after="40" w:before="40"/>
            </w:pPr>
            <w:r>
              <w:rPr>
                <w:rFonts w:ascii="Aptos" w:hAnsi="Aptos"/>
                <w:sz w:val="17"/>
              </w:rPr>
              <w:t>DMSO-004</w:t>
            </w:r>
          </w:p>
        </w:tc>
        <w:tc>
          <w:tcPr>
            <w:tcW w:type="dxa" w:w="2556"/>
            <w:vAlign w:val="center"/>
            <w:tcMar>
              <w:top w:w="90" w:type="dxa"/>
              <w:start w:w="90" w:type="dxa"/>
              <w:bottom w:w="90" w:type="dxa"/>
              <w:end w:w="90" w:type="dxa"/>
            </w:tcMar>
          </w:tcPr>
          <w:p>
            <w:pPr>
              <w:spacing w:after="40" w:before="40"/>
            </w:pPr>
            <w:r>
              <w:rPr>
                <w:rFonts w:ascii="Aptos" w:hAnsi="Aptos"/>
                <w:sz w:val="17"/>
              </w:rPr>
              <w:t>DMSO stocks should be visually inspected before dispensing.</w:t>
            </w:r>
          </w:p>
        </w:tc>
        <w:tc>
          <w:tcPr>
            <w:tcW w:type="dxa" w:w="2556"/>
            <w:vAlign w:val="center"/>
            <w:tcMar>
              <w:top w:w="90" w:type="dxa"/>
              <w:start w:w="90" w:type="dxa"/>
              <w:bottom w:w="90" w:type="dxa"/>
              <w:end w:w="90" w:type="dxa"/>
            </w:tcMar>
          </w:tcPr>
          <w:p>
            <w:pPr>
              <w:spacing w:after="40" w:before="40"/>
            </w:pPr>
            <w:r>
              <w:rPr>
                <w:rFonts w:ascii="Aptos" w:hAnsi="Aptos"/>
                <w:sz w:val="17"/>
              </w:rPr>
              <w:t>BLOCK if precipitation is recorded.</w:t>
            </w:r>
          </w:p>
        </w:tc>
        <w:tc>
          <w:tcPr>
            <w:tcW w:type="dxa" w:w="2556"/>
            <w:vAlign w:val="center"/>
            <w:tcMar>
              <w:top w:w="90" w:type="dxa"/>
              <w:start w:w="90" w:type="dxa"/>
              <w:bottom w:w="90" w:type="dxa"/>
              <w:end w:w="90" w:type="dxa"/>
            </w:tcMar>
          </w:tcPr>
          <w:p>
            <w:pPr>
              <w:spacing w:after="40" w:before="40"/>
            </w:pPr>
            <w:r>
              <w:rPr>
                <w:rFonts w:ascii="Aptos" w:hAnsi="Aptos"/>
                <w:sz w:val="17"/>
              </w:rPr>
              <w:t>Inspection status / handling note</w:t>
            </w:r>
          </w:p>
        </w:tc>
      </w:tr>
      <w:tr>
        <w:tc>
          <w:tcPr>
            <w:tcW w:type="dxa" w:w="2556"/>
            <w:vAlign w:val="center"/>
            <w:tcMar>
              <w:top w:w="90" w:type="dxa"/>
              <w:start w:w="90" w:type="dxa"/>
              <w:bottom w:w="90" w:type="dxa"/>
              <w:end w:w="90" w:type="dxa"/>
            </w:tcMar>
          </w:tcPr>
          <w:p>
            <w:pPr>
              <w:spacing w:after="40" w:before="40"/>
            </w:pPr>
            <w:r>
              <w:rPr>
                <w:rFonts w:ascii="Aptos" w:hAnsi="Aptos"/>
                <w:sz w:val="17"/>
              </w:rPr>
              <w:t>DMSO-005</w:t>
            </w:r>
          </w:p>
        </w:tc>
        <w:tc>
          <w:tcPr>
            <w:tcW w:type="dxa" w:w="2556"/>
            <w:vAlign w:val="center"/>
            <w:tcMar>
              <w:top w:w="90" w:type="dxa"/>
              <w:start w:w="90" w:type="dxa"/>
              <w:bottom w:w="90" w:type="dxa"/>
              <w:end w:w="90" w:type="dxa"/>
            </w:tcMar>
          </w:tcPr>
          <w:p>
            <w:pPr>
              <w:spacing w:after="40" w:before="40"/>
            </w:pPr>
            <w:r>
              <w:rPr>
                <w:rFonts w:ascii="Aptos" w:hAnsi="Aptos"/>
                <w:sz w:val="17"/>
              </w:rPr>
              <w:t>DMSO stocks should minimize water exposure and remain closed when not actively handled.</w:t>
            </w:r>
          </w:p>
        </w:tc>
        <w:tc>
          <w:tcPr>
            <w:tcW w:type="dxa" w:w="2556"/>
            <w:vAlign w:val="center"/>
            <w:tcMar>
              <w:top w:w="90" w:type="dxa"/>
              <w:start w:w="90" w:type="dxa"/>
              <w:bottom w:w="90" w:type="dxa"/>
              <w:end w:w="90" w:type="dxa"/>
            </w:tcMar>
          </w:tcPr>
          <w:p>
            <w:pPr>
              <w:spacing w:after="40" w:before="40"/>
            </w:pPr>
            <w:r>
              <w:rPr>
                <w:rFonts w:ascii="Aptos" w:hAnsi="Aptos"/>
                <w:sz w:val="17"/>
              </w:rPr>
              <w:t>WARNING when prolonged exposure is recorded.</w:t>
            </w:r>
          </w:p>
        </w:tc>
        <w:tc>
          <w:tcPr>
            <w:tcW w:type="dxa" w:w="2556"/>
            <w:vAlign w:val="center"/>
            <w:tcMar>
              <w:top w:w="90" w:type="dxa"/>
              <w:start w:w="90" w:type="dxa"/>
              <w:bottom w:w="90" w:type="dxa"/>
              <w:end w:w="90" w:type="dxa"/>
            </w:tcMar>
          </w:tcPr>
          <w:p>
            <w:pPr>
              <w:spacing w:after="40" w:before="40"/>
            </w:pPr>
            <w:r>
              <w:rPr>
                <w:rFonts w:ascii="Aptos" w:hAnsi="Aptos"/>
                <w:sz w:val="17"/>
              </w:rPr>
              <w:t>Handling note</w:t>
            </w:r>
          </w:p>
        </w:tc>
      </w:tr>
      <w:tr>
        <w:tc>
          <w:tcPr>
            <w:tcW w:type="dxa" w:w="2556"/>
            <w:vAlign w:val="center"/>
            <w:tcMar>
              <w:top w:w="90" w:type="dxa"/>
              <w:start w:w="90" w:type="dxa"/>
              <w:bottom w:w="90" w:type="dxa"/>
              <w:end w:w="90" w:type="dxa"/>
            </w:tcMar>
          </w:tcPr>
          <w:p>
            <w:pPr>
              <w:spacing w:after="40" w:before="40"/>
            </w:pPr>
            <w:r>
              <w:rPr>
                <w:rFonts w:ascii="Aptos" w:hAnsi="Aptos"/>
                <w:sz w:val="17"/>
              </w:rPr>
              <w:t>DMSO-006</w:t>
            </w:r>
          </w:p>
        </w:tc>
        <w:tc>
          <w:tcPr>
            <w:tcW w:type="dxa" w:w="2556"/>
            <w:vAlign w:val="center"/>
            <w:tcMar>
              <w:top w:w="90" w:type="dxa"/>
              <w:start w:w="90" w:type="dxa"/>
              <w:bottom w:w="90" w:type="dxa"/>
              <w:end w:w="90" w:type="dxa"/>
            </w:tcMar>
          </w:tcPr>
          <w:p>
            <w:pPr>
              <w:spacing w:after="40" w:before="40"/>
            </w:pPr>
            <w:r>
              <w:rPr>
                <w:rFonts w:ascii="Aptos" w:hAnsi="Aptos"/>
                <w:sz w:val="17"/>
              </w:rPr>
              <w:t>DMSO stocks should generally be stored frozen unless compound-specific guidance exists.</w:t>
            </w:r>
          </w:p>
        </w:tc>
        <w:tc>
          <w:tcPr>
            <w:tcW w:type="dxa" w:w="2556"/>
            <w:vAlign w:val="center"/>
            <w:tcMar>
              <w:top w:w="90" w:type="dxa"/>
              <w:start w:w="90" w:type="dxa"/>
              <w:bottom w:w="90" w:type="dxa"/>
              <w:end w:w="90" w:type="dxa"/>
            </w:tcMar>
          </w:tcPr>
          <w:p>
            <w:pPr>
              <w:spacing w:after="40" w:before="40"/>
            </w:pPr>
            <w:r>
              <w:rPr>
                <w:rFonts w:ascii="Aptos" w:hAnsi="Aptos"/>
                <w:sz w:val="17"/>
              </w:rPr>
              <w:t>WARNING or review when DMSO stock is not frozen.</w:t>
            </w:r>
          </w:p>
        </w:tc>
        <w:tc>
          <w:tcPr>
            <w:tcW w:type="dxa" w:w="2556"/>
            <w:vAlign w:val="center"/>
            <w:tcMar>
              <w:top w:w="90" w:type="dxa"/>
              <w:start w:w="90" w:type="dxa"/>
              <w:bottom w:w="90" w:type="dxa"/>
              <w:end w:w="90" w:type="dxa"/>
            </w:tcMar>
          </w:tcPr>
          <w:p>
            <w:pPr>
              <w:spacing w:after="40" w:before="40"/>
            </w:pPr>
            <w:r>
              <w:rPr>
                <w:rFonts w:ascii="Aptos" w:hAnsi="Aptos"/>
                <w:sz w:val="17"/>
              </w:rPr>
              <w:t>Solvent, storage temperature</w:t>
            </w:r>
          </w:p>
        </w:tc>
      </w:tr>
    </w:tbl>
    <w:p/>
    <w:p>
      <w:pPr>
        <w:pStyle w:val="Heading2"/>
      </w:pPr>
      <w:r>
        <w:rPr>
          <w:rFonts w:ascii="Aptos Display" w:hAnsi="Aptos Display"/>
          <w:color w:val="2F5496"/>
          <w:sz w:val="25"/>
        </w:rPr>
        <w:t>Handling Guidance</w:t>
      </w:r>
    </w:p>
    <w:p>
      <w:pPr>
        <w:pStyle w:val="ListBullet"/>
      </w:pPr>
      <w:r>
        <w:t>Confirm final solvent percentage during assay design.</w:t>
      </w:r>
    </w:p>
    <w:p>
      <w:pPr>
        <w:pStyle w:val="ListBullet"/>
      </w:pPr>
      <w:r>
        <w:t>Use vehicle controls matching the highest solvent exposure.</w:t>
      </w:r>
    </w:p>
    <w:p>
      <w:pPr>
        <w:pStyle w:val="ListBullet"/>
      </w:pPr>
      <w:r>
        <w:t>Inspect for precipitation or phase separation before dispensing.</w:t>
      </w:r>
    </w:p>
    <w:p>
      <w:pPr>
        <w:pStyle w:val="ListBullet"/>
      </w:pPr>
      <w:r>
        <w:t>Keep containers closed when not actively aspirating or dispensing.</w:t>
      </w:r>
    </w:p>
    <w:p>
      <w:pPr>
        <w:pStyle w:val="Heading1"/>
      </w:pPr>
      <w:r>
        <w:rPr>
          <w:rFonts w:ascii="Aptos Display" w:hAnsi="Aptos Display"/>
          <w:color w:val="1F4E79"/>
          <w:sz w:val="30"/>
        </w:rPr>
        <w:t>6. Methanol Handling SOP</w:t>
      </w:r>
    </w:p>
    <w:p>
      <w:r>
        <w:t>Methanol may be used for compounds requiring an alcohol-based solvent system. Methanol is volatile, flammable, and toxic by inhalation, ingestion, or skin exposure, so containment and compatibility review are important.</w:t>
      </w:r>
    </w:p>
    <w:p>
      <w:pPr>
        <w:pStyle w:val="Heading2"/>
      </w:pPr>
      <w:r>
        <w:rPr>
          <w:rFonts w:ascii="Aptos Display" w:hAnsi="Aptos Display"/>
          <w:color w:val="2F5496"/>
          <w:sz w:val="25"/>
        </w:rPr>
        <w:t>Business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MET-001</w:t>
            </w:r>
          </w:p>
        </w:tc>
        <w:tc>
          <w:tcPr>
            <w:tcW w:type="dxa" w:w="2556"/>
            <w:vAlign w:val="center"/>
            <w:tcMar>
              <w:top w:w="90" w:type="dxa"/>
              <w:start w:w="90" w:type="dxa"/>
              <w:bottom w:w="90" w:type="dxa"/>
              <w:end w:w="90" w:type="dxa"/>
            </w:tcMar>
          </w:tcPr>
          <w:p>
            <w:pPr>
              <w:spacing w:after="40" w:before="40"/>
            </w:pPr>
            <w:r>
              <w:rPr>
                <w:rFonts w:ascii="Aptos" w:hAnsi="Aptos"/>
                <w:sz w:val="17"/>
              </w:rPr>
              <w:t>Methanol-containing stocks require assay compatibility review.</w:t>
            </w:r>
          </w:p>
        </w:tc>
        <w:tc>
          <w:tcPr>
            <w:tcW w:type="dxa" w:w="2556"/>
            <w:vAlign w:val="center"/>
            <w:tcMar>
              <w:top w:w="90" w:type="dxa"/>
              <w:start w:w="90" w:type="dxa"/>
              <w:bottom w:w="90" w:type="dxa"/>
              <w:end w:w="90" w:type="dxa"/>
            </w:tcMar>
          </w:tcPr>
          <w:p>
            <w:pPr>
              <w:spacing w:after="40" w:before="40"/>
            </w:pPr>
            <w:r>
              <w:rPr>
                <w:rFonts w:ascii="Aptos" w:hAnsi="Aptos"/>
                <w:sz w:val="17"/>
              </w:rPr>
              <w:t>WARNING if solvent tolerance is unknown.</w:t>
            </w:r>
          </w:p>
        </w:tc>
        <w:tc>
          <w:tcPr>
            <w:tcW w:type="dxa" w:w="2556"/>
            <w:vAlign w:val="center"/>
            <w:tcMar>
              <w:top w:w="90" w:type="dxa"/>
              <w:start w:w="90" w:type="dxa"/>
              <w:bottom w:w="90" w:type="dxa"/>
              <w:end w:w="90" w:type="dxa"/>
            </w:tcMar>
          </w:tcPr>
          <w:p>
            <w:pPr>
              <w:spacing w:after="40" w:before="40"/>
            </w:pPr>
            <w:r>
              <w:rPr>
                <w:rFonts w:ascii="Aptos" w:hAnsi="Aptos"/>
                <w:sz w:val="17"/>
              </w:rPr>
              <w:t>Solvent, assay compatibility field</w:t>
            </w:r>
          </w:p>
        </w:tc>
      </w:tr>
      <w:tr>
        <w:tc>
          <w:tcPr>
            <w:tcW w:type="dxa" w:w="2556"/>
            <w:vAlign w:val="center"/>
            <w:tcMar>
              <w:top w:w="90" w:type="dxa"/>
              <w:start w:w="90" w:type="dxa"/>
              <w:bottom w:w="90" w:type="dxa"/>
              <w:end w:w="90" w:type="dxa"/>
            </w:tcMar>
          </w:tcPr>
          <w:p>
            <w:pPr>
              <w:spacing w:after="40" w:before="40"/>
            </w:pPr>
            <w:r>
              <w:rPr>
                <w:rFonts w:ascii="Aptos" w:hAnsi="Aptos"/>
                <w:sz w:val="17"/>
              </w:rPr>
              <w:t>MET-002</w:t>
            </w:r>
          </w:p>
        </w:tc>
        <w:tc>
          <w:tcPr>
            <w:tcW w:type="dxa" w:w="2556"/>
            <w:vAlign w:val="center"/>
            <w:tcMar>
              <w:top w:w="90" w:type="dxa"/>
              <w:start w:w="90" w:type="dxa"/>
              <w:bottom w:w="90" w:type="dxa"/>
              <w:end w:w="90" w:type="dxa"/>
            </w:tcMar>
          </w:tcPr>
          <w:p>
            <w:pPr>
              <w:spacing w:after="40" w:before="40"/>
            </w:pPr>
            <w:r>
              <w:rPr>
                <w:rFonts w:ascii="Aptos" w:hAnsi="Aptos"/>
                <w:sz w:val="17"/>
              </w:rPr>
              <w:t>Methanol containers must remain tightly sealed.</w:t>
            </w:r>
          </w:p>
        </w:tc>
        <w:tc>
          <w:tcPr>
            <w:tcW w:type="dxa" w:w="2556"/>
            <w:vAlign w:val="center"/>
            <w:tcMar>
              <w:top w:w="90" w:type="dxa"/>
              <w:start w:w="90" w:type="dxa"/>
              <w:bottom w:w="90" w:type="dxa"/>
              <w:end w:w="90" w:type="dxa"/>
            </w:tcMar>
          </w:tcPr>
          <w:p>
            <w:pPr>
              <w:spacing w:after="40" w:before="40"/>
            </w:pPr>
            <w:r>
              <w:rPr>
                <w:rFonts w:ascii="Aptos" w:hAnsi="Aptos"/>
                <w:sz w:val="17"/>
              </w:rPr>
              <w:t>WARNING if prolonged open exposure is recorded.</w:t>
            </w:r>
          </w:p>
        </w:tc>
        <w:tc>
          <w:tcPr>
            <w:tcW w:type="dxa" w:w="2556"/>
            <w:vAlign w:val="center"/>
            <w:tcMar>
              <w:top w:w="90" w:type="dxa"/>
              <w:start w:w="90" w:type="dxa"/>
              <w:bottom w:w="90" w:type="dxa"/>
              <w:end w:w="90" w:type="dxa"/>
            </w:tcMar>
          </w:tcPr>
          <w:p>
            <w:pPr>
              <w:spacing w:after="40" w:before="40"/>
            </w:pPr>
            <w:r>
              <w:rPr>
                <w:rFonts w:ascii="Aptos" w:hAnsi="Aptos"/>
                <w:sz w:val="17"/>
              </w:rPr>
              <w:t>Handling note</w:t>
            </w:r>
          </w:p>
        </w:tc>
      </w:tr>
      <w:tr>
        <w:tc>
          <w:tcPr>
            <w:tcW w:type="dxa" w:w="2556"/>
            <w:vAlign w:val="center"/>
            <w:tcMar>
              <w:top w:w="90" w:type="dxa"/>
              <w:start w:w="90" w:type="dxa"/>
              <w:bottom w:w="90" w:type="dxa"/>
              <w:end w:w="90" w:type="dxa"/>
            </w:tcMar>
          </w:tcPr>
          <w:p>
            <w:pPr>
              <w:spacing w:after="40" w:before="40"/>
            </w:pPr>
            <w:r>
              <w:rPr>
                <w:rFonts w:ascii="Aptos" w:hAnsi="Aptos"/>
                <w:sz w:val="17"/>
              </w:rPr>
              <w:t>MET-003</w:t>
            </w:r>
          </w:p>
        </w:tc>
        <w:tc>
          <w:tcPr>
            <w:tcW w:type="dxa" w:w="2556"/>
            <w:vAlign w:val="center"/>
            <w:tcMar>
              <w:top w:w="90" w:type="dxa"/>
              <w:start w:w="90" w:type="dxa"/>
              <w:bottom w:w="90" w:type="dxa"/>
              <w:end w:w="90" w:type="dxa"/>
            </w:tcMar>
          </w:tcPr>
          <w:p>
            <w:pPr>
              <w:spacing w:after="40" w:before="40"/>
            </w:pPr>
            <w:r>
              <w:rPr>
                <w:rFonts w:ascii="Aptos" w:hAnsi="Aptos"/>
                <w:sz w:val="17"/>
              </w:rPr>
              <w:t>Methanol stocks must remain visually clear before dispensing.</w:t>
            </w:r>
          </w:p>
        </w:tc>
        <w:tc>
          <w:tcPr>
            <w:tcW w:type="dxa" w:w="2556"/>
            <w:vAlign w:val="center"/>
            <w:tcMar>
              <w:top w:w="90" w:type="dxa"/>
              <w:start w:w="90" w:type="dxa"/>
              <w:bottom w:w="90" w:type="dxa"/>
              <w:end w:w="90" w:type="dxa"/>
            </w:tcMar>
          </w:tcPr>
          <w:p>
            <w:pPr>
              <w:spacing w:after="40" w:before="40"/>
            </w:pPr>
            <w:r>
              <w:rPr>
                <w:rFonts w:ascii="Aptos" w:hAnsi="Aptos"/>
                <w:sz w:val="17"/>
              </w:rPr>
              <w:t>BLOCK if precipitation or cloudiness is recorded.</w:t>
            </w:r>
          </w:p>
        </w:tc>
        <w:tc>
          <w:tcPr>
            <w:tcW w:type="dxa" w:w="2556"/>
            <w:vAlign w:val="center"/>
            <w:tcMar>
              <w:top w:w="90" w:type="dxa"/>
              <w:start w:w="90" w:type="dxa"/>
              <w:bottom w:w="90" w:type="dxa"/>
              <w:end w:w="90" w:type="dxa"/>
            </w:tcMar>
          </w:tcPr>
          <w:p>
            <w:pPr>
              <w:spacing w:after="40" w:before="40"/>
            </w:pPr>
            <w:r>
              <w:rPr>
                <w:rFonts w:ascii="Aptos" w:hAnsi="Aptos"/>
                <w:sz w:val="17"/>
              </w:rPr>
              <w:t>Inspection status</w:t>
            </w:r>
          </w:p>
        </w:tc>
      </w:tr>
      <w:tr>
        <w:tc>
          <w:tcPr>
            <w:tcW w:type="dxa" w:w="2556"/>
            <w:vAlign w:val="center"/>
            <w:tcMar>
              <w:top w:w="90" w:type="dxa"/>
              <w:start w:w="90" w:type="dxa"/>
              <w:bottom w:w="90" w:type="dxa"/>
              <w:end w:w="90" w:type="dxa"/>
            </w:tcMar>
          </w:tcPr>
          <w:p>
            <w:pPr>
              <w:spacing w:after="40" w:before="40"/>
            </w:pPr>
            <w:r>
              <w:rPr>
                <w:rFonts w:ascii="Aptos" w:hAnsi="Aptos"/>
                <w:sz w:val="17"/>
              </w:rPr>
              <w:t>MET-004</w:t>
            </w:r>
          </w:p>
        </w:tc>
        <w:tc>
          <w:tcPr>
            <w:tcW w:type="dxa" w:w="2556"/>
            <w:vAlign w:val="center"/>
            <w:tcMar>
              <w:top w:w="90" w:type="dxa"/>
              <w:start w:w="90" w:type="dxa"/>
              <w:bottom w:w="90" w:type="dxa"/>
              <w:end w:w="90" w:type="dxa"/>
            </w:tcMar>
          </w:tcPr>
          <w:p>
            <w:pPr>
              <w:spacing w:after="40" w:before="40"/>
            </w:pPr>
            <w:r>
              <w:rPr>
                <w:rFonts w:ascii="Aptos" w:hAnsi="Aptos"/>
                <w:sz w:val="17"/>
              </w:rPr>
              <w:t>Storage temperature and location must be recorded.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Storage temperature, location</w:t>
            </w:r>
          </w:p>
        </w:tc>
      </w:tr>
      <w:tr>
        <w:tc>
          <w:tcPr>
            <w:tcW w:type="dxa" w:w="2556"/>
            <w:vAlign w:val="center"/>
            <w:tcMar>
              <w:top w:w="90" w:type="dxa"/>
              <w:start w:w="90" w:type="dxa"/>
              <w:bottom w:w="90" w:type="dxa"/>
              <w:end w:w="90" w:type="dxa"/>
            </w:tcMar>
          </w:tcPr>
          <w:p>
            <w:pPr>
              <w:spacing w:after="40" w:before="40"/>
            </w:pPr>
            <w:r>
              <w:rPr>
                <w:rFonts w:ascii="Aptos" w:hAnsi="Aptos"/>
                <w:sz w:val="17"/>
              </w:rPr>
              <w:t>MET-005</w:t>
            </w:r>
          </w:p>
        </w:tc>
        <w:tc>
          <w:tcPr>
            <w:tcW w:type="dxa" w:w="2556"/>
            <w:vAlign w:val="center"/>
            <w:tcMar>
              <w:top w:w="90" w:type="dxa"/>
              <w:start w:w="90" w:type="dxa"/>
              <w:bottom w:w="90" w:type="dxa"/>
              <w:end w:w="90" w:type="dxa"/>
            </w:tcMar>
          </w:tcPr>
          <w:p>
            <w:pPr>
              <w:spacing w:after="40" w:before="40"/>
            </w:pPr>
            <w:r>
              <w:rPr>
                <w:rFonts w:ascii="Aptos" w:hAnsi="Aptos"/>
                <w:sz w:val="17"/>
              </w:rPr>
              <w:t>High final methanol content should be flagged for review.</w:t>
            </w:r>
          </w:p>
        </w:tc>
        <w:tc>
          <w:tcPr>
            <w:tcW w:type="dxa" w:w="2556"/>
            <w:vAlign w:val="center"/>
            <w:tcMar>
              <w:top w:w="90" w:type="dxa"/>
              <w:start w:w="90" w:type="dxa"/>
              <w:bottom w:w="90" w:type="dxa"/>
              <w:end w:w="90" w:type="dxa"/>
            </w:tcMar>
          </w:tcPr>
          <w:p>
            <w:pPr>
              <w:spacing w:after="40" w:before="40"/>
            </w:pPr>
            <w:r>
              <w:rPr>
                <w:rFonts w:ascii="Aptos" w:hAnsi="Aptos"/>
                <w:sz w:val="17"/>
              </w:rPr>
              <w:t>WARNING when final solvent percentage is not calculated or exceeds local assay tolerance.</w:t>
            </w:r>
          </w:p>
        </w:tc>
        <w:tc>
          <w:tcPr>
            <w:tcW w:type="dxa" w:w="2556"/>
            <w:vAlign w:val="center"/>
            <w:tcMar>
              <w:top w:w="90" w:type="dxa"/>
              <w:start w:w="90" w:type="dxa"/>
              <w:bottom w:w="90" w:type="dxa"/>
              <w:end w:w="90" w:type="dxa"/>
            </w:tcMar>
          </w:tcPr>
          <w:p>
            <w:pPr>
              <w:spacing w:after="40" w:before="40"/>
            </w:pPr>
            <w:r>
              <w:rPr>
                <w:rFonts w:ascii="Aptos" w:hAnsi="Aptos"/>
                <w:sz w:val="17"/>
              </w:rPr>
              <w:t>Calculated solvent %, tolerance if available</w:t>
            </w:r>
          </w:p>
        </w:tc>
      </w:tr>
    </w:tbl>
    <w:p/>
    <w:p>
      <w:pPr>
        <w:pStyle w:val="Heading2"/>
      </w:pPr>
      <w:r>
        <w:rPr>
          <w:rFonts w:ascii="Aptos Display" w:hAnsi="Aptos Display"/>
          <w:color w:val="2F5496"/>
          <w:sz w:val="25"/>
        </w:rPr>
        <w:t>Handling Guidance</w:t>
      </w:r>
    </w:p>
    <w:p>
      <w:pPr>
        <w:pStyle w:val="ListBullet"/>
      </w:pPr>
      <w:r>
        <w:t>Minimize open-container time.</w:t>
      </w:r>
    </w:p>
    <w:p>
      <w:pPr>
        <w:pStyle w:val="ListBullet"/>
      </w:pPr>
      <w:r>
        <w:t>Use appropriate containment for volatile solvents.</w:t>
      </w:r>
    </w:p>
    <w:p>
      <w:pPr>
        <w:pStyle w:val="ListBullet"/>
      </w:pPr>
      <w:r>
        <w:t>Confirm the assay can tolerate methanol before plate generation.</w:t>
      </w:r>
    </w:p>
    <w:p>
      <w:pPr>
        <w:pStyle w:val="ListBullet"/>
      </w:pPr>
      <w:r>
        <w:t>Prefer fresh transfer plates when evaporation risk is high.</w:t>
      </w:r>
    </w:p>
    <w:p>
      <w:pPr>
        <w:pStyle w:val="Heading1"/>
      </w:pPr>
      <w:r>
        <w:rPr>
          <w:rFonts w:ascii="Aptos Display" w:hAnsi="Aptos Display"/>
          <w:color w:val="1F4E79"/>
          <w:sz w:val="30"/>
        </w:rPr>
        <w:t>7. Ethanol Handling SOP</w:t>
      </w:r>
    </w:p>
    <w:p>
      <w:r>
        <w:t>Ethanol may be used for alcohol-compatible compounds or assay systems. Ethanol is volatile and flammable, and final assay compatibility should be reviewed before use.</w:t>
      </w:r>
    </w:p>
    <w:p>
      <w:pPr>
        <w:pStyle w:val="Heading2"/>
      </w:pPr>
      <w:r>
        <w:rPr>
          <w:rFonts w:ascii="Aptos Display" w:hAnsi="Aptos Display"/>
          <w:color w:val="2F5496"/>
          <w:sz w:val="25"/>
        </w:rPr>
        <w:t>Business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ETH-001</w:t>
            </w:r>
          </w:p>
        </w:tc>
        <w:tc>
          <w:tcPr>
            <w:tcW w:type="dxa" w:w="2556"/>
            <w:vAlign w:val="center"/>
            <w:tcMar>
              <w:top w:w="90" w:type="dxa"/>
              <w:start w:w="90" w:type="dxa"/>
              <w:bottom w:w="90" w:type="dxa"/>
              <w:end w:w="90" w:type="dxa"/>
            </w:tcMar>
          </w:tcPr>
          <w:p>
            <w:pPr>
              <w:spacing w:after="40" w:before="40"/>
            </w:pPr>
            <w:r>
              <w:rPr>
                <w:rFonts w:ascii="Aptos" w:hAnsi="Aptos"/>
                <w:sz w:val="17"/>
              </w:rPr>
              <w:t>Ethanol-containing stocks require assay compatibility review.</w:t>
            </w:r>
          </w:p>
        </w:tc>
        <w:tc>
          <w:tcPr>
            <w:tcW w:type="dxa" w:w="2556"/>
            <w:vAlign w:val="center"/>
            <w:tcMar>
              <w:top w:w="90" w:type="dxa"/>
              <w:start w:w="90" w:type="dxa"/>
              <w:bottom w:w="90" w:type="dxa"/>
              <w:end w:w="90" w:type="dxa"/>
            </w:tcMar>
          </w:tcPr>
          <w:p>
            <w:pPr>
              <w:spacing w:after="40" w:before="40"/>
            </w:pPr>
            <w:r>
              <w:rPr>
                <w:rFonts w:ascii="Aptos" w:hAnsi="Aptos"/>
                <w:sz w:val="17"/>
              </w:rPr>
              <w:t>WARNING if solvent tolerance is unknown.</w:t>
            </w:r>
          </w:p>
        </w:tc>
        <w:tc>
          <w:tcPr>
            <w:tcW w:type="dxa" w:w="2556"/>
            <w:vAlign w:val="center"/>
            <w:tcMar>
              <w:top w:w="90" w:type="dxa"/>
              <w:start w:w="90" w:type="dxa"/>
              <w:bottom w:w="90" w:type="dxa"/>
              <w:end w:w="90" w:type="dxa"/>
            </w:tcMar>
          </w:tcPr>
          <w:p>
            <w:pPr>
              <w:spacing w:after="40" w:before="40"/>
            </w:pPr>
            <w:r>
              <w:rPr>
                <w:rFonts w:ascii="Aptos" w:hAnsi="Aptos"/>
                <w:sz w:val="17"/>
              </w:rPr>
              <w:t>Solvent, assay compatibility field</w:t>
            </w:r>
          </w:p>
        </w:tc>
      </w:tr>
      <w:tr>
        <w:tc>
          <w:tcPr>
            <w:tcW w:type="dxa" w:w="2556"/>
            <w:vAlign w:val="center"/>
            <w:tcMar>
              <w:top w:w="90" w:type="dxa"/>
              <w:start w:w="90" w:type="dxa"/>
              <w:bottom w:w="90" w:type="dxa"/>
              <w:end w:w="90" w:type="dxa"/>
            </w:tcMar>
          </w:tcPr>
          <w:p>
            <w:pPr>
              <w:spacing w:after="40" w:before="40"/>
            </w:pPr>
            <w:r>
              <w:rPr>
                <w:rFonts w:ascii="Aptos" w:hAnsi="Aptos"/>
                <w:sz w:val="17"/>
              </w:rPr>
              <w:t>ETH-002</w:t>
            </w:r>
          </w:p>
        </w:tc>
        <w:tc>
          <w:tcPr>
            <w:tcW w:type="dxa" w:w="2556"/>
            <w:vAlign w:val="center"/>
            <w:tcMar>
              <w:top w:w="90" w:type="dxa"/>
              <w:start w:w="90" w:type="dxa"/>
              <w:bottom w:w="90" w:type="dxa"/>
              <w:end w:w="90" w:type="dxa"/>
            </w:tcMar>
          </w:tcPr>
          <w:p>
            <w:pPr>
              <w:spacing w:after="40" w:before="40"/>
            </w:pPr>
            <w:r>
              <w:rPr>
                <w:rFonts w:ascii="Aptos" w:hAnsi="Aptos"/>
                <w:sz w:val="17"/>
              </w:rPr>
              <w:t>Ethanol containers should be capped immediately after handling.</w:t>
            </w:r>
          </w:p>
        </w:tc>
        <w:tc>
          <w:tcPr>
            <w:tcW w:type="dxa" w:w="2556"/>
            <w:vAlign w:val="center"/>
            <w:tcMar>
              <w:top w:w="90" w:type="dxa"/>
              <w:start w:w="90" w:type="dxa"/>
              <w:bottom w:w="90" w:type="dxa"/>
              <w:end w:w="90" w:type="dxa"/>
            </w:tcMar>
          </w:tcPr>
          <w:p>
            <w:pPr>
              <w:spacing w:after="40" w:before="40"/>
            </w:pPr>
            <w:r>
              <w:rPr>
                <w:rFonts w:ascii="Aptos" w:hAnsi="Aptos"/>
                <w:sz w:val="17"/>
              </w:rPr>
              <w:t>WARNING if prolonged open exposure is recorded.</w:t>
            </w:r>
          </w:p>
        </w:tc>
        <w:tc>
          <w:tcPr>
            <w:tcW w:type="dxa" w:w="2556"/>
            <w:vAlign w:val="center"/>
            <w:tcMar>
              <w:top w:w="90" w:type="dxa"/>
              <w:start w:w="90" w:type="dxa"/>
              <w:bottom w:w="90" w:type="dxa"/>
              <w:end w:w="90" w:type="dxa"/>
            </w:tcMar>
          </w:tcPr>
          <w:p>
            <w:pPr>
              <w:spacing w:after="40" w:before="40"/>
            </w:pPr>
            <w:r>
              <w:rPr>
                <w:rFonts w:ascii="Aptos" w:hAnsi="Aptos"/>
                <w:sz w:val="17"/>
              </w:rPr>
              <w:t>Handling note</w:t>
            </w:r>
          </w:p>
        </w:tc>
      </w:tr>
      <w:tr>
        <w:tc>
          <w:tcPr>
            <w:tcW w:type="dxa" w:w="2556"/>
            <w:vAlign w:val="center"/>
            <w:tcMar>
              <w:top w:w="90" w:type="dxa"/>
              <w:start w:w="90" w:type="dxa"/>
              <w:bottom w:w="90" w:type="dxa"/>
              <w:end w:w="90" w:type="dxa"/>
            </w:tcMar>
          </w:tcPr>
          <w:p>
            <w:pPr>
              <w:spacing w:after="40" w:before="40"/>
            </w:pPr>
            <w:r>
              <w:rPr>
                <w:rFonts w:ascii="Aptos" w:hAnsi="Aptos"/>
                <w:sz w:val="17"/>
              </w:rPr>
              <w:t>ETH-003</w:t>
            </w:r>
          </w:p>
        </w:tc>
        <w:tc>
          <w:tcPr>
            <w:tcW w:type="dxa" w:w="2556"/>
            <w:vAlign w:val="center"/>
            <w:tcMar>
              <w:top w:w="90" w:type="dxa"/>
              <w:start w:w="90" w:type="dxa"/>
              <w:bottom w:w="90" w:type="dxa"/>
              <w:end w:w="90" w:type="dxa"/>
            </w:tcMar>
          </w:tcPr>
          <w:p>
            <w:pPr>
              <w:spacing w:after="40" w:before="40"/>
            </w:pPr>
            <w:r>
              <w:rPr>
                <w:rFonts w:ascii="Aptos" w:hAnsi="Aptos"/>
                <w:sz w:val="17"/>
              </w:rPr>
              <w:t>Ethanol stocks must remain visually clear.</w:t>
            </w:r>
          </w:p>
        </w:tc>
        <w:tc>
          <w:tcPr>
            <w:tcW w:type="dxa" w:w="2556"/>
            <w:vAlign w:val="center"/>
            <w:tcMar>
              <w:top w:w="90" w:type="dxa"/>
              <w:start w:w="90" w:type="dxa"/>
              <w:bottom w:w="90" w:type="dxa"/>
              <w:end w:w="90" w:type="dxa"/>
            </w:tcMar>
          </w:tcPr>
          <w:p>
            <w:pPr>
              <w:spacing w:after="40" w:before="40"/>
            </w:pPr>
            <w:r>
              <w:rPr>
                <w:rFonts w:ascii="Aptos" w:hAnsi="Aptos"/>
                <w:sz w:val="17"/>
              </w:rPr>
              <w:t>BLOCK if precipitation or phase separation is recorded.</w:t>
            </w:r>
          </w:p>
        </w:tc>
        <w:tc>
          <w:tcPr>
            <w:tcW w:type="dxa" w:w="2556"/>
            <w:vAlign w:val="center"/>
            <w:tcMar>
              <w:top w:w="90" w:type="dxa"/>
              <w:start w:w="90" w:type="dxa"/>
              <w:bottom w:w="90" w:type="dxa"/>
              <w:end w:w="90" w:type="dxa"/>
            </w:tcMar>
          </w:tcPr>
          <w:p>
            <w:pPr>
              <w:spacing w:after="40" w:before="40"/>
            </w:pPr>
            <w:r>
              <w:rPr>
                <w:rFonts w:ascii="Aptos" w:hAnsi="Aptos"/>
                <w:sz w:val="17"/>
              </w:rPr>
              <w:t>Inspection status</w:t>
            </w:r>
          </w:p>
        </w:tc>
      </w:tr>
      <w:tr>
        <w:tc>
          <w:tcPr>
            <w:tcW w:type="dxa" w:w="2556"/>
            <w:vAlign w:val="center"/>
            <w:tcMar>
              <w:top w:w="90" w:type="dxa"/>
              <w:start w:w="90" w:type="dxa"/>
              <w:bottom w:w="90" w:type="dxa"/>
              <w:end w:w="90" w:type="dxa"/>
            </w:tcMar>
          </w:tcPr>
          <w:p>
            <w:pPr>
              <w:spacing w:after="40" w:before="40"/>
            </w:pPr>
            <w:r>
              <w:rPr>
                <w:rFonts w:ascii="Aptos" w:hAnsi="Aptos"/>
                <w:sz w:val="17"/>
              </w:rPr>
              <w:t>ETH-004</w:t>
            </w:r>
          </w:p>
        </w:tc>
        <w:tc>
          <w:tcPr>
            <w:tcW w:type="dxa" w:w="2556"/>
            <w:vAlign w:val="center"/>
            <w:tcMar>
              <w:top w:w="90" w:type="dxa"/>
              <w:start w:w="90" w:type="dxa"/>
              <w:bottom w:w="90" w:type="dxa"/>
              <w:end w:w="90" w:type="dxa"/>
            </w:tcMar>
          </w:tcPr>
          <w:p>
            <w:pPr>
              <w:spacing w:after="40" w:before="40"/>
            </w:pPr>
            <w:r>
              <w:rPr>
                <w:rFonts w:ascii="Aptos" w:hAnsi="Aptos"/>
                <w:sz w:val="17"/>
              </w:rPr>
              <w:t>Final assay solvent concentration should be documented when used.</w:t>
            </w:r>
          </w:p>
        </w:tc>
        <w:tc>
          <w:tcPr>
            <w:tcW w:type="dxa" w:w="2556"/>
            <w:vAlign w:val="center"/>
            <w:tcMar>
              <w:top w:w="90" w:type="dxa"/>
              <w:start w:w="90" w:type="dxa"/>
              <w:bottom w:w="90" w:type="dxa"/>
              <w:end w:w="90" w:type="dxa"/>
            </w:tcMar>
          </w:tcPr>
          <w:p>
            <w:pPr>
              <w:spacing w:after="40" w:before="40"/>
            </w:pPr>
            <w:r>
              <w:rPr>
                <w:rFonts w:ascii="Aptos" w:hAnsi="Aptos"/>
                <w:sz w:val="17"/>
              </w:rPr>
              <w:t>WARNING if final solvent percentage is missing.</w:t>
            </w:r>
          </w:p>
        </w:tc>
        <w:tc>
          <w:tcPr>
            <w:tcW w:type="dxa" w:w="2556"/>
            <w:vAlign w:val="center"/>
            <w:tcMar>
              <w:top w:w="90" w:type="dxa"/>
              <w:start w:w="90" w:type="dxa"/>
              <w:bottom w:w="90" w:type="dxa"/>
              <w:end w:w="90" w:type="dxa"/>
            </w:tcMar>
          </w:tcPr>
          <w:p>
            <w:pPr>
              <w:spacing w:after="40" w:before="40"/>
            </w:pPr>
            <w:r>
              <w:rPr>
                <w:rFonts w:ascii="Aptos" w:hAnsi="Aptos"/>
                <w:sz w:val="17"/>
              </w:rPr>
              <w:t>Calculated solvent %</w:t>
            </w:r>
          </w:p>
        </w:tc>
      </w:tr>
      <w:tr>
        <w:tc>
          <w:tcPr>
            <w:tcW w:type="dxa" w:w="2556"/>
            <w:vAlign w:val="center"/>
            <w:tcMar>
              <w:top w:w="90" w:type="dxa"/>
              <w:start w:w="90" w:type="dxa"/>
              <w:bottom w:w="90" w:type="dxa"/>
              <w:end w:w="90" w:type="dxa"/>
            </w:tcMar>
          </w:tcPr>
          <w:p>
            <w:pPr>
              <w:spacing w:after="40" w:before="40"/>
            </w:pPr>
            <w:r>
              <w:rPr>
                <w:rFonts w:ascii="Aptos" w:hAnsi="Aptos"/>
                <w:sz w:val="17"/>
              </w:rPr>
              <w:t>ETH-005</w:t>
            </w:r>
          </w:p>
        </w:tc>
        <w:tc>
          <w:tcPr>
            <w:tcW w:type="dxa" w:w="2556"/>
            <w:vAlign w:val="center"/>
            <w:tcMar>
              <w:top w:w="90" w:type="dxa"/>
              <w:start w:w="90" w:type="dxa"/>
              <w:bottom w:w="90" w:type="dxa"/>
              <w:end w:w="90" w:type="dxa"/>
            </w:tcMar>
          </w:tcPr>
          <w:p>
            <w:pPr>
              <w:spacing w:after="40" w:before="40"/>
            </w:pPr>
            <w:r>
              <w:rPr>
                <w:rFonts w:ascii="Aptos" w:hAnsi="Aptos"/>
                <w:sz w:val="17"/>
              </w:rPr>
              <w:t>Evaporation risk should be considered for small-volume transfers.</w:t>
            </w:r>
          </w:p>
        </w:tc>
        <w:tc>
          <w:tcPr>
            <w:tcW w:type="dxa" w:w="2556"/>
            <w:vAlign w:val="center"/>
            <w:tcMar>
              <w:top w:w="90" w:type="dxa"/>
              <w:start w:w="90" w:type="dxa"/>
              <w:bottom w:w="90" w:type="dxa"/>
              <w:end w:w="90" w:type="dxa"/>
            </w:tcMar>
          </w:tcPr>
          <w:p>
            <w:pPr>
              <w:spacing w:after="40" w:before="40"/>
            </w:pPr>
            <w:r>
              <w:rPr>
                <w:rFonts w:ascii="Aptos" w:hAnsi="Aptos"/>
                <w:sz w:val="17"/>
              </w:rPr>
              <w:t>WARNING for small open volumes or prolonged handling.</w:t>
            </w:r>
          </w:p>
        </w:tc>
        <w:tc>
          <w:tcPr>
            <w:tcW w:type="dxa" w:w="2556"/>
            <w:vAlign w:val="center"/>
            <w:tcMar>
              <w:top w:w="90" w:type="dxa"/>
              <w:start w:w="90" w:type="dxa"/>
              <w:bottom w:w="90" w:type="dxa"/>
              <w:end w:w="90" w:type="dxa"/>
            </w:tcMar>
          </w:tcPr>
          <w:p>
            <w:pPr>
              <w:spacing w:after="40" w:before="40"/>
            </w:pPr>
            <w:r>
              <w:rPr>
                <w:rFonts w:ascii="Aptos" w:hAnsi="Aptos"/>
                <w:sz w:val="17"/>
              </w:rPr>
              <w:t>Container, volume, handling note</w:t>
            </w:r>
          </w:p>
        </w:tc>
      </w:tr>
    </w:tbl>
    <w:p/>
    <w:p>
      <w:pPr>
        <w:pStyle w:val="Heading2"/>
      </w:pPr>
      <w:r>
        <w:rPr>
          <w:rFonts w:ascii="Aptos Display" w:hAnsi="Aptos Display"/>
          <w:color w:val="2F5496"/>
          <w:sz w:val="25"/>
        </w:rPr>
        <w:t>Handling Guidance</w:t>
      </w:r>
    </w:p>
    <w:p>
      <w:pPr>
        <w:pStyle w:val="ListBullet"/>
      </w:pPr>
      <w:r>
        <w:t>Keep containers capped when not in use.</w:t>
      </w:r>
    </w:p>
    <w:p>
      <w:pPr>
        <w:pStyle w:val="ListBullet"/>
      </w:pPr>
      <w:r>
        <w:t>Minimize evaporation during setup.</w:t>
      </w:r>
    </w:p>
    <w:p>
      <w:pPr>
        <w:pStyle w:val="ListBullet"/>
      </w:pPr>
      <w:r>
        <w:t>Verify assay tolerance when ethanol is introduced into final wells.</w:t>
      </w:r>
    </w:p>
    <w:p>
      <w:pPr>
        <w:pStyle w:val="ListBullet"/>
      </w:pPr>
      <w:r>
        <w:t>Inspect stocks before dispensing.</w:t>
      </w:r>
    </w:p>
    <w:p>
      <w:pPr>
        <w:pStyle w:val="Heading1"/>
      </w:pPr>
      <w:r>
        <w:rPr>
          <w:rFonts w:ascii="Aptos Display" w:hAnsi="Aptos Display"/>
          <w:color w:val="1F4E79"/>
          <w:sz w:val="30"/>
        </w:rPr>
        <w:t>8. Acetonitrile Handling SOP</w:t>
      </w:r>
    </w:p>
    <w:p>
      <w:r>
        <w:t>Acetonitrile may appear in analytical or compound-preparation workflows and requires compatibility and safe-handling review due to volatility, flammability, and toxicity concerns.</w:t>
      </w:r>
    </w:p>
    <w:p>
      <w:pPr>
        <w:pStyle w:val="Heading2"/>
      </w:pPr>
      <w:r>
        <w:rPr>
          <w:rFonts w:ascii="Aptos Display" w:hAnsi="Aptos Display"/>
          <w:color w:val="2F5496"/>
          <w:sz w:val="25"/>
        </w:rPr>
        <w:t>Business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ACN-001</w:t>
            </w:r>
          </w:p>
        </w:tc>
        <w:tc>
          <w:tcPr>
            <w:tcW w:type="dxa" w:w="2556"/>
            <w:vAlign w:val="center"/>
            <w:tcMar>
              <w:top w:w="90" w:type="dxa"/>
              <w:start w:w="90" w:type="dxa"/>
              <w:bottom w:w="90" w:type="dxa"/>
              <w:end w:w="90" w:type="dxa"/>
            </w:tcMar>
          </w:tcPr>
          <w:p>
            <w:pPr>
              <w:spacing w:after="40" w:before="40"/>
            </w:pPr>
            <w:r>
              <w:rPr>
                <w:rFonts w:ascii="Aptos" w:hAnsi="Aptos"/>
                <w:sz w:val="17"/>
              </w:rPr>
              <w:t>Acetonitrile-containing stocks require assay compatibility review.</w:t>
            </w:r>
          </w:p>
        </w:tc>
        <w:tc>
          <w:tcPr>
            <w:tcW w:type="dxa" w:w="2556"/>
            <w:vAlign w:val="center"/>
            <w:tcMar>
              <w:top w:w="90" w:type="dxa"/>
              <w:start w:w="90" w:type="dxa"/>
              <w:bottom w:w="90" w:type="dxa"/>
              <w:end w:w="90" w:type="dxa"/>
            </w:tcMar>
          </w:tcPr>
          <w:p>
            <w:pPr>
              <w:spacing w:after="40" w:before="40"/>
            </w:pPr>
            <w:r>
              <w:rPr>
                <w:rFonts w:ascii="Aptos" w:hAnsi="Aptos"/>
                <w:sz w:val="17"/>
              </w:rPr>
              <w:t>WARNING if compatibility is unknown.</w:t>
            </w:r>
          </w:p>
        </w:tc>
        <w:tc>
          <w:tcPr>
            <w:tcW w:type="dxa" w:w="2556"/>
            <w:vAlign w:val="center"/>
            <w:tcMar>
              <w:top w:w="90" w:type="dxa"/>
              <w:start w:w="90" w:type="dxa"/>
              <w:bottom w:w="90" w:type="dxa"/>
              <w:end w:w="90" w:type="dxa"/>
            </w:tcMar>
          </w:tcPr>
          <w:p>
            <w:pPr>
              <w:spacing w:after="40" w:before="40"/>
            </w:pPr>
            <w:r>
              <w:rPr>
                <w:rFonts w:ascii="Aptos" w:hAnsi="Aptos"/>
                <w:sz w:val="17"/>
              </w:rPr>
              <w:t>Solvent, assay compatibility field</w:t>
            </w:r>
          </w:p>
        </w:tc>
      </w:tr>
      <w:tr>
        <w:tc>
          <w:tcPr>
            <w:tcW w:type="dxa" w:w="2556"/>
            <w:vAlign w:val="center"/>
            <w:tcMar>
              <w:top w:w="90" w:type="dxa"/>
              <w:start w:w="90" w:type="dxa"/>
              <w:bottom w:w="90" w:type="dxa"/>
              <w:end w:w="90" w:type="dxa"/>
            </w:tcMar>
          </w:tcPr>
          <w:p>
            <w:pPr>
              <w:spacing w:after="40" w:before="40"/>
            </w:pPr>
            <w:r>
              <w:rPr>
                <w:rFonts w:ascii="Aptos" w:hAnsi="Aptos"/>
                <w:sz w:val="17"/>
              </w:rPr>
              <w:t>ACN-002</w:t>
            </w:r>
          </w:p>
        </w:tc>
        <w:tc>
          <w:tcPr>
            <w:tcW w:type="dxa" w:w="2556"/>
            <w:vAlign w:val="center"/>
            <w:tcMar>
              <w:top w:w="90" w:type="dxa"/>
              <w:start w:w="90" w:type="dxa"/>
              <w:bottom w:w="90" w:type="dxa"/>
              <w:end w:w="90" w:type="dxa"/>
            </w:tcMar>
          </w:tcPr>
          <w:p>
            <w:pPr>
              <w:spacing w:after="40" w:before="40"/>
            </w:pPr>
            <w:r>
              <w:rPr>
                <w:rFonts w:ascii="Aptos" w:hAnsi="Aptos"/>
                <w:sz w:val="17"/>
              </w:rPr>
              <w:t>Containers must remain closed except during active handling.</w:t>
            </w:r>
          </w:p>
        </w:tc>
        <w:tc>
          <w:tcPr>
            <w:tcW w:type="dxa" w:w="2556"/>
            <w:vAlign w:val="center"/>
            <w:tcMar>
              <w:top w:w="90" w:type="dxa"/>
              <w:start w:w="90" w:type="dxa"/>
              <w:bottom w:w="90" w:type="dxa"/>
              <w:end w:w="90" w:type="dxa"/>
            </w:tcMar>
          </w:tcPr>
          <w:p>
            <w:pPr>
              <w:spacing w:after="40" w:before="40"/>
            </w:pPr>
            <w:r>
              <w:rPr>
                <w:rFonts w:ascii="Aptos" w:hAnsi="Aptos"/>
                <w:sz w:val="17"/>
              </w:rPr>
              <w:t>WARNING if prolonged exposure is recorded.</w:t>
            </w:r>
          </w:p>
        </w:tc>
        <w:tc>
          <w:tcPr>
            <w:tcW w:type="dxa" w:w="2556"/>
            <w:vAlign w:val="center"/>
            <w:tcMar>
              <w:top w:w="90" w:type="dxa"/>
              <w:start w:w="90" w:type="dxa"/>
              <w:bottom w:w="90" w:type="dxa"/>
              <w:end w:w="90" w:type="dxa"/>
            </w:tcMar>
          </w:tcPr>
          <w:p>
            <w:pPr>
              <w:spacing w:after="40" w:before="40"/>
            </w:pPr>
            <w:r>
              <w:rPr>
                <w:rFonts w:ascii="Aptos" w:hAnsi="Aptos"/>
                <w:sz w:val="17"/>
              </w:rPr>
              <w:t>Handling note</w:t>
            </w:r>
          </w:p>
        </w:tc>
      </w:tr>
      <w:tr>
        <w:tc>
          <w:tcPr>
            <w:tcW w:type="dxa" w:w="2556"/>
            <w:vAlign w:val="center"/>
            <w:tcMar>
              <w:top w:w="90" w:type="dxa"/>
              <w:start w:w="90" w:type="dxa"/>
              <w:bottom w:w="90" w:type="dxa"/>
              <w:end w:w="90" w:type="dxa"/>
            </w:tcMar>
          </w:tcPr>
          <w:p>
            <w:pPr>
              <w:spacing w:after="40" w:before="40"/>
            </w:pPr>
            <w:r>
              <w:rPr>
                <w:rFonts w:ascii="Aptos" w:hAnsi="Aptos"/>
                <w:sz w:val="17"/>
              </w:rPr>
              <w:t>ACN-003</w:t>
            </w:r>
          </w:p>
        </w:tc>
        <w:tc>
          <w:tcPr>
            <w:tcW w:type="dxa" w:w="2556"/>
            <w:vAlign w:val="center"/>
            <w:tcMar>
              <w:top w:w="90" w:type="dxa"/>
              <w:start w:w="90" w:type="dxa"/>
              <w:bottom w:w="90" w:type="dxa"/>
              <w:end w:w="90" w:type="dxa"/>
            </w:tcMar>
          </w:tcPr>
          <w:p>
            <w:pPr>
              <w:spacing w:after="40" w:before="40"/>
            </w:pPr>
            <w:r>
              <w:rPr>
                <w:rFonts w:ascii="Aptos" w:hAnsi="Aptos"/>
                <w:sz w:val="17"/>
              </w:rPr>
              <w:t>Stock must remain visually clear.</w:t>
            </w:r>
          </w:p>
        </w:tc>
        <w:tc>
          <w:tcPr>
            <w:tcW w:type="dxa" w:w="2556"/>
            <w:vAlign w:val="center"/>
            <w:tcMar>
              <w:top w:w="90" w:type="dxa"/>
              <w:start w:w="90" w:type="dxa"/>
              <w:bottom w:w="90" w:type="dxa"/>
              <w:end w:w="90" w:type="dxa"/>
            </w:tcMar>
          </w:tcPr>
          <w:p>
            <w:pPr>
              <w:spacing w:after="40" w:before="40"/>
            </w:pPr>
            <w:r>
              <w:rPr>
                <w:rFonts w:ascii="Aptos" w:hAnsi="Aptos"/>
                <w:sz w:val="17"/>
              </w:rPr>
              <w:t>BLOCK if precipitation or cloudiness is recorded.</w:t>
            </w:r>
          </w:p>
        </w:tc>
        <w:tc>
          <w:tcPr>
            <w:tcW w:type="dxa" w:w="2556"/>
            <w:vAlign w:val="center"/>
            <w:tcMar>
              <w:top w:w="90" w:type="dxa"/>
              <w:start w:w="90" w:type="dxa"/>
              <w:bottom w:w="90" w:type="dxa"/>
              <w:end w:w="90" w:type="dxa"/>
            </w:tcMar>
          </w:tcPr>
          <w:p>
            <w:pPr>
              <w:spacing w:after="40" w:before="40"/>
            </w:pPr>
            <w:r>
              <w:rPr>
                <w:rFonts w:ascii="Aptos" w:hAnsi="Aptos"/>
                <w:sz w:val="17"/>
              </w:rPr>
              <w:t>Inspection status</w:t>
            </w:r>
          </w:p>
        </w:tc>
      </w:tr>
      <w:tr>
        <w:tc>
          <w:tcPr>
            <w:tcW w:type="dxa" w:w="2556"/>
            <w:vAlign w:val="center"/>
            <w:tcMar>
              <w:top w:w="90" w:type="dxa"/>
              <w:start w:w="90" w:type="dxa"/>
              <w:bottom w:w="90" w:type="dxa"/>
              <w:end w:w="90" w:type="dxa"/>
            </w:tcMar>
          </w:tcPr>
          <w:p>
            <w:pPr>
              <w:spacing w:after="40" w:before="40"/>
            </w:pPr>
            <w:r>
              <w:rPr>
                <w:rFonts w:ascii="Aptos" w:hAnsi="Aptos"/>
                <w:sz w:val="17"/>
              </w:rPr>
              <w:t>ACN-004</w:t>
            </w:r>
          </w:p>
        </w:tc>
        <w:tc>
          <w:tcPr>
            <w:tcW w:type="dxa" w:w="2556"/>
            <w:vAlign w:val="center"/>
            <w:tcMar>
              <w:top w:w="90" w:type="dxa"/>
              <w:start w:w="90" w:type="dxa"/>
              <w:bottom w:w="90" w:type="dxa"/>
              <w:end w:w="90" w:type="dxa"/>
            </w:tcMar>
          </w:tcPr>
          <w:p>
            <w:pPr>
              <w:spacing w:after="40" w:before="40"/>
            </w:pPr>
            <w:r>
              <w:rPr>
                <w:rFonts w:ascii="Aptos" w:hAnsi="Aptos"/>
                <w:sz w:val="17"/>
              </w:rPr>
              <w:t>Storage location must be recorded.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Storage location</w:t>
            </w:r>
          </w:p>
        </w:tc>
      </w:tr>
      <w:tr>
        <w:tc>
          <w:tcPr>
            <w:tcW w:type="dxa" w:w="2556"/>
            <w:vAlign w:val="center"/>
            <w:tcMar>
              <w:top w:w="90" w:type="dxa"/>
              <w:start w:w="90" w:type="dxa"/>
              <w:bottom w:w="90" w:type="dxa"/>
              <w:end w:w="90" w:type="dxa"/>
            </w:tcMar>
          </w:tcPr>
          <w:p>
            <w:pPr>
              <w:spacing w:after="40" w:before="40"/>
            </w:pPr>
            <w:r>
              <w:rPr>
                <w:rFonts w:ascii="Aptos" w:hAnsi="Aptos"/>
                <w:sz w:val="17"/>
              </w:rPr>
              <w:t>ACN-005</w:t>
            </w:r>
          </w:p>
        </w:tc>
        <w:tc>
          <w:tcPr>
            <w:tcW w:type="dxa" w:w="2556"/>
            <w:vAlign w:val="center"/>
            <w:tcMar>
              <w:top w:w="90" w:type="dxa"/>
              <w:start w:w="90" w:type="dxa"/>
              <w:bottom w:w="90" w:type="dxa"/>
              <w:end w:w="90" w:type="dxa"/>
            </w:tcMar>
          </w:tcPr>
          <w:p>
            <w:pPr>
              <w:spacing w:after="40" w:before="40"/>
            </w:pPr>
            <w:r>
              <w:rPr>
                <w:rFonts w:ascii="Aptos" w:hAnsi="Aptos"/>
                <w:sz w:val="17"/>
              </w:rPr>
              <w:t>Final assay acetonitrile content should be calculated or reviewed.</w:t>
            </w:r>
          </w:p>
        </w:tc>
        <w:tc>
          <w:tcPr>
            <w:tcW w:type="dxa" w:w="2556"/>
            <w:vAlign w:val="center"/>
            <w:tcMar>
              <w:top w:w="90" w:type="dxa"/>
              <w:start w:w="90" w:type="dxa"/>
              <w:bottom w:w="90" w:type="dxa"/>
              <w:end w:w="90" w:type="dxa"/>
            </w:tcMar>
          </w:tcPr>
          <w:p>
            <w:pPr>
              <w:spacing w:after="40" w:before="40"/>
            </w:pPr>
            <w:r>
              <w:rPr>
                <w:rFonts w:ascii="Aptos" w:hAnsi="Aptos"/>
                <w:sz w:val="17"/>
              </w:rPr>
              <w:t>WARNING if final solvent concentration is missing or above assay tolerance.</w:t>
            </w:r>
          </w:p>
        </w:tc>
        <w:tc>
          <w:tcPr>
            <w:tcW w:type="dxa" w:w="2556"/>
            <w:vAlign w:val="center"/>
            <w:tcMar>
              <w:top w:w="90" w:type="dxa"/>
              <w:start w:w="90" w:type="dxa"/>
              <w:bottom w:w="90" w:type="dxa"/>
              <w:end w:w="90" w:type="dxa"/>
            </w:tcMar>
          </w:tcPr>
          <w:p>
            <w:pPr>
              <w:spacing w:after="40" w:before="40"/>
            </w:pPr>
            <w:r>
              <w:rPr>
                <w:rFonts w:ascii="Aptos" w:hAnsi="Aptos"/>
                <w:sz w:val="17"/>
              </w:rPr>
              <w:t>Calculated solvent %, tolerance if available</w:t>
            </w:r>
          </w:p>
        </w:tc>
      </w:tr>
    </w:tbl>
    <w:p/>
    <w:p>
      <w:pPr>
        <w:pStyle w:val="Heading2"/>
      </w:pPr>
      <w:r>
        <w:rPr>
          <w:rFonts w:ascii="Aptos Display" w:hAnsi="Aptos Display"/>
          <w:color w:val="2F5496"/>
          <w:sz w:val="25"/>
        </w:rPr>
        <w:t>Handling Guidance</w:t>
      </w:r>
    </w:p>
    <w:p>
      <w:pPr>
        <w:pStyle w:val="ListBullet"/>
      </w:pPr>
      <w:r>
        <w:t>Minimize open-container exposure.</w:t>
      </w:r>
    </w:p>
    <w:p>
      <w:pPr>
        <w:pStyle w:val="ListBullet"/>
      </w:pPr>
      <w:r>
        <w:t>Confirm downstream assay compatibility.</w:t>
      </w:r>
    </w:p>
    <w:p>
      <w:pPr>
        <w:pStyle w:val="ListBullet"/>
      </w:pPr>
      <w:r>
        <w:t>Use appropriate containment and chemical-handling controls.</w:t>
      </w:r>
    </w:p>
    <w:p>
      <w:pPr>
        <w:pStyle w:val="ListBullet"/>
      </w:pPr>
      <w:r>
        <w:t>Record source and destination details during transfer.</w:t>
      </w:r>
    </w:p>
    <w:p>
      <w:pPr>
        <w:pStyle w:val="Heading1"/>
      </w:pPr>
      <w:r>
        <w:rPr>
          <w:rFonts w:ascii="Aptos Display" w:hAnsi="Aptos Display"/>
          <w:color w:val="1F4E79"/>
          <w:sz w:val="30"/>
        </w:rPr>
        <w:t>9. Water-Based Stock SOP</w:t>
      </w:r>
    </w:p>
    <w:p>
      <w:r>
        <w:t>Water-based stocks are common for aqueous-compatible compounds. The primary concerns are stability, precipitation, microbial or contamination risk where applicable, and documented storage conditions.</w:t>
      </w:r>
    </w:p>
    <w:p>
      <w:pPr>
        <w:pStyle w:val="Heading2"/>
      </w:pPr>
      <w:r>
        <w:rPr>
          <w:rFonts w:ascii="Aptos Display" w:hAnsi="Aptos Display"/>
          <w:color w:val="2F5496"/>
          <w:sz w:val="25"/>
        </w:rPr>
        <w:t>Business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AQ-001</w:t>
            </w:r>
          </w:p>
        </w:tc>
        <w:tc>
          <w:tcPr>
            <w:tcW w:type="dxa" w:w="2556"/>
            <w:vAlign w:val="center"/>
            <w:tcMar>
              <w:top w:w="90" w:type="dxa"/>
              <w:start w:w="90" w:type="dxa"/>
              <w:bottom w:w="90" w:type="dxa"/>
              <w:end w:w="90" w:type="dxa"/>
            </w:tcMar>
          </w:tcPr>
          <w:p>
            <w:pPr>
              <w:spacing w:after="40" w:before="40"/>
            </w:pPr>
            <w:r>
              <w:rPr>
                <w:rFonts w:ascii="Aptos" w:hAnsi="Aptos"/>
                <w:sz w:val="17"/>
              </w:rPr>
              <w:t>Solution must remain visually clear.</w:t>
            </w:r>
          </w:p>
        </w:tc>
        <w:tc>
          <w:tcPr>
            <w:tcW w:type="dxa" w:w="2556"/>
            <w:vAlign w:val="center"/>
            <w:tcMar>
              <w:top w:w="90" w:type="dxa"/>
              <w:start w:w="90" w:type="dxa"/>
              <w:bottom w:w="90" w:type="dxa"/>
              <w:end w:w="90" w:type="dxa"/>
            </w:tcMar>
          </w:tcPr>
          <w:p>
            <w:pPr>
              <w:spacing w:after="40" w:before="40"/>
            </w:pPr>
            <w:r>
              <w:rPr>
                <w:rFonts w:ascii="Aptos" w:hAnsi="Aptos"/>
                <w:sz w:val="17"/>
              </w:rPr>
              <w:t>BLOCK if precipitation or cloudiness is recorded.</w:t>
            </w:r>
          </w:p>
        </w:tc>
        <w:tc>
          <w:tcPr>
            <w:tcW w:type="dxa" w:w="2556"/>
            <w:vAlign w:val="center"/>
            <w:tcMar>
              <w:top w:w="90" w:type="dxa"/>
              <w:start w:w="90" w:type="dxa"/>
              <w:bottom w:w="90" w:type="dxa"/>
              <w:end w:w="90" w:type="dxa"/>
            </w:tcMar>
          </w:tcPr>
          <w:p>
            <w:pPr>
              <w:spacing w:after="40" w:before="40"/>
            </w:pPr>
            <w:r>
              <w:rPr>
                <w:rFonts w:ascii="Aptos" w:hAnsi="Aptos"/>
                <w:sz w:val="17"/>
              </w:rPr>
              <w:t>Inspection status</w:t>
            </w:r>
          </w:p>
        </w:tc>
      </w:tr>
      <w:tr>
        <w:tc>
          <w:tcPr>
            <w:tcW w:type="dxa" w:w="2556"/>
            <w:vAlign w:val="center"/>
            <w:tcMar>
              <w:top w:w="90" w:type="dxa"/>
              <w:start w:w="90" w:type="dxa"/>
              <w:bottom w:w="90" w:type="dxa"/>
              <w:end w:w="90" w:type="dxa"/>
            </w:tcMar>
          </w:tcPr>
          <w:p>
            <w:pPr>
              <w:spacing w:after="40" w:before="40"/>
            </w:pPr>
            <w:r>
              <w:rPr>
                <w:rFonts w:ascii="Aptos" w:hAnsi="Aptos"/>
                <w:sz w:val="17"/>
              </w:rPr>
              <w:t>AQ-002</w:t>
            </w:r>
          </w:p>
        </w:tc>
        <w:tc>
          <w:tcPr>
            <w:tcW w:type="dxa" w:w="2556"/>
            <w:vAlign w:val="center"/>
            <w:tcMar>
              <w:top w:w="90" w:type="dxa"/>
              <w:start w:w="90" w:type="dxa"/>
              <w:bottom w:w="90" w:type="dxa"/>
              <w:end w:w="90" w:type="dxa"/>
            </w:tcMar>
          </w:tcPr>
          <w:p>
            <w:pPr>
              <w:spacing w:after="40" w:before="40"/>
            </w:pPr>
            <w:r>
              <w:rPr>
                <w:rFonts w:ascii="Aptos" w:hAnsi="Aptos"/>
                <w:sz w:val="17"/>
              </w:rPr>
              <w:t>Storage temperature must be recorded.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Storage temperature</w:t>
            </w:r>
          </w:p>
        </w:tc>
      </w:tr>
      <w:tr>
        <w:tc>
          <w:tcPr>
            <w:tcW w:type="dxa" w:w="2556"/>
            <w:vAlign w:val="center"/>
            <w:tcMar>
              <w:top w:w="90" w:type="dxa"/>
              <w:start w:w="90" w:type="dxa"/>
              <w:bottom w:w="90" w:type="dxa"/>
              <w:end w:w="90" w:type="dxa"/>
            </w:tcMar>
          </w:tcPr>
          <w:p>
            <w:pPr>
              <w:spacing w:after="40" w:before="40"/>
            </w:pPr>
            <w:r>
              <w:rPr>
                <w:rFonts w:ascii="Aptos" w:hAnsi="Aptos"/>
                <w:sz w:val="17"/>
              </w:rPr>
              <w:t>AQ-003</w:t>
            </w:r>
          </w:p>
        </w:tc>
        <w:tc>
          <w:tcPr>
            <w:tcW w:type="dxa" w:w="2556"/>
            <w:vAlign w:val="center"/>
            <w:tcMar>
              <w:top w:w="90" w:type="dxa"/>
              <w:start w:w="90" w:type="dxa"/>
              <w:bottom w:w="90" w:type="dxa"/>
              <w:end w:w="90" w:type="dxa"/>
            </w:tcMar>
          </w:tcPr>
          <w:p>
            <w:pPr>
              <w:spacing w:after="40" w:before="40"/>
            </w:pPr>
            <w:r>
              <w:rPr>
                <w:rFonts w:ascii="Aptos" w:hAnsi="Aptos"/>
                <w:sz w:val="17"/>
              </w:rPr>
              <w:t>Expiration date must be valid.</w:t>
            </w:r>
          </w:p>
        </w:tc>
        <w:tc>
          <w:tcPr>
            <w:tcW w:type="dxa" w:w="2556"/>
            <w:vAlign w:val="center"/>
            <w:tcMar>
              <w:top w:w="90" w:type="dxa"/>
              <w:start w:w="90" w:type="dxa"/>
              <w:bottom w:w="90" w:type="dxa"/>
              <w:end w:w="90" w:type="dxa"/>
            </w:tcMar>
          </w:tcPr>
          <w:p>
            <w:pPr>
              <w:spacing w:after="40" w:before="40"/>
            </w:pPr>
            <w:r>
              <w:rPr>
                <w:rFonts w:ascii="Aptos" w:hAnsi="Aptos"/>
                <w:sz w:val="17"/>
              </w:rPr>
              <w:t>PASS when valid; BLOCK if expired.</w:t>
            </w:r>
          </w:p>
        </w:tc>
        <w:tc>
          <w:tcPr>
            <w:tcW w:type="dxa" w:w="2556"/>
            <w:vAlign w:val="center"/>
            <w:tcMar>
              <w:top w:w="90" w:type="dxa"/>
              <w:start w:w="90" w:type="dxa"/>
              <w:bottom w:w="90" w:type="dxa"/>
              <w:end w:w="90" w:type="dxa"/>
            </w:tcMar>
          </w:tcPr>
          <w:p>
            <w:pPr>
              <w:spacing w:after="40" w:before="40"/>
            </w:pPr>
            <w:r>
              <w:rPr>
                <w:rFonts w:ascii="Aptos" w:hAnsi="Aptos"/>
                <w:sz w:val="17"/>
              </w:rPr>
              <w:t>Expiration date, request date</w:t>
            </w:r>
          </w:p>
        </w:tc>
      </w:tr>
      <w:tr>
        <w:tc>
          <w:tcPr>
            <w:tcW w:type="dxa" w:w="2556"/>
            <w:vAlign w:val="center"/>
            <w:tcMar>
              <w:top w:w="90" w:type="dxa"/>
              <w:start w:w="90" w:type="dxa"/>
              <w:bottom w:w="90" w:type="dxa"/>
              <w:end w:w="90" w:type="dxa"/>
            </w:tcMar>
          </w:tcPr>
          <w:p>
            <w:pPr>
              <w:spacing w:after="40" w:before="40"/>
            </w:pPr>
            <w:r>
              <w:rPr>
                <w:rFonts w:ascii="Aptos" w:hAnsi="Aptos"/>
                <w:sz w:val="17"/>
              </w:rPr>
              <w:t>AQ-004</w:t>
            </w:r>
          </w:p>
        </w:tc>
        <w:tc>
          <w:tcPr>
            <w:tcW w:type="dxa" w:w="2556"/>
            <w:vAlign w:val="center"/>
            <w:tcMar>
              <w:top w:w="90" w:type="dxa"/>
              <w:start w:w="90" w:type="dxa"/>
              <w:bottom w:w="90" w:type="dxa"/>
              <w:end w:w="90" w:type="dxa"/>
            </w:tcMar>
          </w:tcPr>
          <w:p>
            <w:pPr>
              <w:spacing w:after="40" w:before="40"/>
            </w:pPr>
            <w:r>
              <w:rPr>
                <w:rFonts w:ascii="Aptos" w:hAnsi="Aptos"/>
                <w:sz w:val="17"/>
              </w:rPr>
              <w:t>Concentration must be documented.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Stock concentration</w:t>
            </w:r>
          </w:p>
        </w:tc>
      </w:tr>
      <w:tr>
        <w:tc>
          <w:tcPr>
            <w:tcW w:type="dxa" w:w="2556"/>
            <w:vAlign w:val="center"/>
            <w:tcMar>
              <w:top w:w="90" w:type="dxa"/>
              <w:start w:w="90" w:type="dxa"/>
              <w:bottom w:w="90" w:type="dxa"/>
              <w:end w:w="90" w:type="dxa"/>
            </w:tcMar>
          </w:tcPr>
          <w:p>
            <w:pPr>
              <w:spacing w:after="40" w:before="40"/>
            </w:pPr>
            <w:r>
              <w:rPr>
                <w:rFonts w:ascii="Aptos" w:hAnsi="Aptos"/>
                <w:sz w:val="17"/>
              </w:rPr>
              <w:t>AQ-005</w:t>
            </w:r>
          </w:p>
        </w:tc>
        <w:tc>
          <w:tcPr>
            <w:tcW w:type="dxa" w:w="2556"/>
            <w:vAlign w:val="center"/>
            <w:tcMar>
              <w:top w:w="90" w:type="dxa"/>
              <w:start w:w="90" w:type="dxa"/>
              <w:bottom w:w="90" w:type="dxa"/>
              <w:end w:w="90" w:type="dxa"/>
            </w:tcMar>
          </w:tcPr>
          <w:p>
            <w:pPr>
              <w:spacing w:after="40" w:before="40"/>
            </w:pPr>
            <w:r>
              <w:rPr>
                <w:rFonts w:ascii="Aptos" w:hAnsi="Aptos"/>
                <w:sz w:val="17"/>
              </w:rPr>
              <w:t>Location must be recorded and traceable.</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Storage location</w:t>
            </w:r>
          </w:p>
        </w:tc>
      </w:tr>
    </w:tbl>
    <w:p/>
    <w:p>
      <w:pPr>
        <w:pStyle w:val="Heading2"/>
      </w:pPr>
      <w:r>
        <w:rPr>
          <w:rFonts w:ascii="Aptos Display" w:hAnsi="Aptos Display"/>
          <w:color w:val="2F5496"/>
          <w:sz w:val="25"/>
        </w:rPr>
        <w:t>Handling Guidance</w:t>
      </w:r>
    </w:p>
    <w:p>
      <w:pPr>
        <w:pStyle w:val="ListBullet"/>
      </w:pPr>
      <w:r>
        <w:t>Inspect for precipitation before dispensing.</w:t>
      </w:r>
    </w:p>
    <w:p>
      <w:pPr>
        <w:pStyle w:val="ListBullet"/>
      </w:pPr>
      <w:r>
        <w:t>Review stability after thawing or storage.</w:t>
      </w:r>
    </w:p>
    <w:p>
      <w:pPr>
        <w:pStyle w:val="ListBullet"/>
      </w:pPr>
      <w:r>
        <w:t>Confirm storage temperature and expiry before use.</w:t>
      </w:r>
    </w:p>
    <w:p>
      <w:pPr>
        <w:pStyle w:val="ListBullet"/>
      </w:pPr>
      <w:r>
        <w:t>Avoid assuming stability when records are missing.</w:t>
      </w:r>
    </w:p>
    <w:p>
      <w:pPr>
        <w:pStyle w:val="Heading1"/>
      </w:pPr>
      <w:r>
        <w:rPr>
          <w:rFonts w:ascii="Aptos Display" w:hAnsi="Aptos Display"/>
          <w:color w:val="1F4E79"/>
          <w:sz w:val="30"/>
        </w:rPr>
        <w:t>10. PBS Handling SOP</w:t>
      </w:r>
    </w:p>
    <w:p>
      <w:r>
        <w:t>PBS is a phosphate-buffered saline system commonly used in biological workflows. PBS formulations should remain clear, appropriate for the assay system, and traceable by storage and composition records.</w:t>
      </w:r>
    </w:p>
    <w:p>
      <w:pPr>
        <w:pStyle w:val="Heading2"/>
      </w:pPr>
      <w:r>
        <w:rPr>
          <w:rFonts w:ascii="Aptos Display" w:hAnsi="Aptos Display"/>
          <w:color w:val="2F5496"/>
          <w:sz w:val="25"/>
        </w:rPr>
        <w:t>Business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PBS-001</w:t>
            </w:r>
          </w:p>
        </w:tc>
        <w:tc>
          <w:tcPr>
            <w:tcW w:type="dxa" w:w="2556"/>
            <w:vAlign w:val="center"/>
            <w:tcMar>
              <w:top w:w="90" w:type="dxa"/>
              <w:start w:w="90" w:type="dxa"/>
              <w:bottom w:w="90" w:type="dxa"/>
              <w:end w:w="90" w:type="dxa"/>
            </w:tcMar>
          </w:tcPr>
          <w:p>
            <w:pPr>
              <w:spacing w:after="40" w:before="40"/>
            </w:pPr>
            <w:r>
              <w:rPr>
                <w:rFonts w:ascii="Aptos" w:hAnsi="Aptos"/>
                <w:sz w:val="17"/>
              </w:rPr>
              <w:t>PBS stock must remain visually clear.</w:t>
            </w:r>
          </w:p>
        </w:tc>
        <w:tc>
          <w:tcPr>
            <w:tcW w:type="dxa" w:w="2556"/>
            <w:vAlign w:val="center"/>
            <w:tcMar>
              <w:top w:w="90" w:type="dxa"/>
              <w:start w:w="90" w:type="dxa"/>
              <w:bottom w:w="90" w:type="dxa"/>
              <w:end w:w="90" w:type="dxa"/>
            </w:tcMar>
          </w:tcPr>
          <w:p>
            <w:pPr>
              <w:spacing w:after="40" w:before="40"/>
            </w:pPr>
            <w:r>
              <w:rPr>
                <w:rFonts w:ascii="Aptos" w:hAnsi="Aptos"/>
                <w:sz w:val="17"/>
              </w:rPr>
              <w:t>BLOCK if precipitation or cloudiness is recorded.</w:t>
            </w:r>
          </w:p>
        </w:tc>
        <w:tc>
          <w:tcPr>
            <w:tcW w:type="dxa" w:w="2556"/>
            <w:vAlign w:val="center"/>
            <w:tcMar>
              <w:top w:w="90" w:type="dxa"/>
              <w:start w:w="90" w:type="dxa"/>
              <w:bottom w:w="90" w:type="dxa"/>
              <w:end w:w="90" w:type="dxa"/>
            </w:tcMar>
          </w:tcPr>
          <w:p>
            <w:pPr>
              <w:spacing w:after="40" w:before="40"/>
            </w:pPr>
            <w:r>
              <w:rPr>
                <w:rFonts w:ascii="Aptos" w:hAnsi="Aptos"/>
                <w:sz w:val="17"/>
              </w:rPr>
              <w:t>Inspection status</w:t>
            </w:r>
          </w:p>
        </w:tc>
      </w:tr>
      <w:tr>
        <w:tc>
          <w:tcPr>
            <w:tcW w:type="dxa" w:w="2556"/>
            <w:vAlign w:val="center"/>
            <w:tcMar>
              <w:top w:w="90" w:type="dxa"/>
              <w:start w:w="90" w:type="dxa"/>
              <w:bottom w:w="90" w:type="dxa"/>
              <w:end w:w="90" w:type="dxa"/>
            </w:tcMar>
          </w:tcPr>
          <w:p>
            <w:pPr>
              <w:spacing w:after="40" w:before="40"/>
            </w:pPr>
            <w:r>
              <w:rPr>
                <w:rFonts w:ascii="Aptos" w:hAnsi="Aptos"/>
                <w:sz w:val="17"/>
              </w:rPr>
              <w:t>PBS-002</w:t>
            </w:r>
          </w:p>
        </w:tc>
        <w:tc>
          <w:tcPr>
            <w:tcW w:type="dxa" w:w="2556"/>
            <w:vAlign w:val="center"/>
            <w:tcMar>
              <w:top w:w="90" w:type="dxa"/>
              <w:start w:w="90" w:type="dxa"/>
              <w:bottom w:w="90" w:type="dxa"/>
              <w:end w:w="90" w:type="dxa"/>
            </w:tcMar>
          </w:tcPr>
          <w:p>
            <w:pPr>
              <w:spacing w:after="40" w:before="40"/>
            </w:pPr>
            <w:r>
              <w:rPr>
                <w:rFonts w:ascii="Aptos" w:hAnsi="Aptos"/>
                <w:sz w:val="17"/>
              </w:rPr>
              <w:t>Storage location must be recorded.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Location</w:t>
            </w:r>
          </w:p>
        </w:tc>
      </w:tr>
      <w:tr>
        <w:tc>
          <w:tcPr>
            <w:tcW w:type="dxa" w:w="2556"/>
            <w:vAlign w:val="center"/>
            <w:tcMar>
              <w:top w:w="90" w:type="dxa"/>
              <w:start w:w="90" w:type="dxa"/>
              <w:bottom w:w="90" w:type="dxa"/>
              <w:end w:w="90" w:type="dxa"/>
            </w:tcMar>
          </w:tcPr>
          <w:p>
            <w:pPr>
              <w:spacing w:after="40" w:before="40"/>
            </w:pPr>
            <w:r>
              <w:rPr>
                <w:rFonts w:ascii="Aptos" w:hAnsi="Aptos"/>
                <w:sz w:val="17"/>
              </w:rPr>
              <w:t>PBS-003</w:t>
            </w:r>
          </w:p>
        </w:tc>
        <w:tc>
          <w:tcPr>
            <w:tcW w:type="dxa" w:w="2556"/>
            <w:vAlign w:val="center"/>
            <w:tcMar>
              <w:top w:w="90" w:type="dxa"/>
              <w:start w:w="90" w:type="dxa"/>
              <w:bottom w:w="90" w:type="dxa"/>
              <w:end w:w="90" w:type="dxa"/>
            </w:tcMar>
          </w:tcPr>
          <w:p>
            <w:pPr>
              <w:spacing w:after="40" w:before="40"/>
            </w:pPr>
            <w:r>
              <w:rPr>
                <w:rFonts w:ascii="Aptos" w:hAnsi="Aptos"/>
                <w:sz w:val="17"/>
              </w:rPr>
              <w:t>Expiration date must be valid.</w:t>
            </w:r>
          </w:p>
        </w:tc>
        <w:tc>
          <w:tcPr>
            <w:tcW w:type="dxa" w:w="2556"/>
            <w:vAlign w:val="center"/>
            <w:tcMar>
              <w:top w:w="90" w:type="dxa"/>
              <w:start w:w="90" w:type="dxa"/>
              <w:bottom w:w="90" w:type="dxa"/>
              <w:end w:w="90" w:type="dxa"/>
            </w:tcMar>
          </w:tcPr>
          <w:p>
            <w:pPr>
              <w:spacing w:after="40" w:before="40"/>
            </w:pPr>
            <w:r>
              <w:rPr>
                <w:rFonts w:ascii="Aptos" w:hAnsi="Aptos"/>
                <w:sz w:val="17"/>
              </w:rPr>
              <w:t>PASS when valid; BLOCK if expired.</w:t>
            </w:r>
          </w:p>
        </w:tc>
        <w:tc>
          <w:tcPr>
            <w:tcW w:type="dxa" w:w="2556"/>
            <w:vAlign w:val="center"/>
            <w:tcMar>
              <w:top w:w="90" w:type="dxa"/>
              <w:start w:w="90" w:type="dxa"/>
              <w:bottom w:w="90" w:type="dxa"/>
              <w:end w:w="90" w:type="dxa"/>
            </w:tcMar>
          </w:tcPr>
          <w:p>
            <w:pPr>
              <w:spacing w:after="40" w:before="40"/>
            </w:pPr>
            <w:r>
              <w:rPr>
                <w:rFonts w:ascii="Aptos" w:hAnsi="Aptos"/>
                <w:sz w:val="17"/>
              </w:rPr>
              <w:t>Expiration date, request date</w:t>
            </w:r>
          </w:p>
        </w:tc>
      </w:tr>
      <w:tr>
        <w:tc>
          <w:tcPr>
            <w:tcW w:type="dxa" w:w="2556"/>
            <w:vAlign w:val="center"/>
            <w:tcMar>
              <w:top w:w="90" w:type="dxa"/>
              <w:start w:w="90" w:type="dxa"/>
              <w:bottom w:w="90" w:type="dxa"/>
              <w:end w:w="90" w:type="dxa"/>
            </w:tcMar>
          </w:tcPr>
          <w:p>
            <w:pPr>
              <w:spacing w:after="40" w:before="40"/>
            </w:pPr>
            <w:r>
              <w:rPr>
                <w:rFonts w:ascii="Aptos" w:hAnsi="Aptos"/>
                <w:sz w:val="17"/>
              </w:rPr>
              <w:t>PBS-004</w:t>
            </w:r>
          </w:p>
        </w:tc>
        <w:tc>
          <w:tcPr>
            <w:tcW w:type="dxa" w:w="2556"/>
            <w:vAlign w:val="center"/>
            <w:tcMar>
              <w:top w:w="90" w:type="dxa"/>
              <w:start w:w="90" w:type="dxa"/>
              <w:bottom w:w="90" w:type="dxa"/>
              <w:end w:w="90" w:type="dxa"/>
            </w:tcMar>
          </w:tcPr>
          <w:p>
            <w:pPr>
              <w:spacing w:after="40" w:before="40"/>
            </w:pPr>
            <w:r>
              <w:rPr>
                <w:rFonts w:ascii="Aptos" w:hAnsi="Aptos"/>
                <w:sz w:val="17"/>
              </w:rPr>
              <w:t>Composition or formulation should be documented when relevant.</w:t>
            </w:r>
          </w:p>
        </w:tc>
        <w:tc>
          <w:tcPr>
            <w:tcW w:type="dxa" w:w="2556"/>
            <w:vAlign w:val="center"/>
            <w:tcMar>
              <w:top w:w="90" w:type="dxa"/>
              <w:start w:w="90" w:type="dxa"/>
              <w:bottom w:w="90" w:type="dxa"/>
              <w:end w:w="90" w:type="dxa"/>
            </w:tcMar>
          </w:tcPr>
          <w:p>
            <w:pPr>
              <w:spacing w:after="40" w:before="40"/>
            </w:pPr>
            <w:r>
              <w:rPr>
                <w:rFonts w:ascii="Aptos" w:hAnsi="Aptos"/>
                <w:sz w:val="17"/>
              </w:rPr>
              <w:t>WARNING if composition is unknown.</w:t>
            </w:r>
          </w:p>
        </w:tc>
        <w:tc>
          <w:tcPr>
            <w:tcW w:type="dxa" w:w="2556"/>
            <w:vAlign w:val="center"/>
            <w:tcMar>
              <w:top w:w="90" w:type="dxa"/>
              <w:start w:w="90" w:type="dxa"/>
              <w:bottom w:w="90" w:type="dxa"/>
              <w:end w:w="90" w:type="dxa"/>
            </w:tcMar>
          </w:tcPr>
          <w:p>
            <w:pPr>
              <w:spacing w:after="40" w:before="40"/>
            </w:pPr>
            <w:r>
              <w:rPr>
                <w:rFonts w:ascii="Aptos" w:hAnsi="Aptos"/>
                <w:sz w:val="17"/>
              </w:rPr>
              <w:t>Buffer formulation field or note</w:t>
            </w:r>
          </w:p>
        </w:tc>
      </w:tr>
      <w:tr>
        <w:tc>
          <w:tcPr>
            <w:tcW w:type="dxa" w:w="2556"/>
            <w:vAlign w:val="center"/>
            <w:tcMar>
              <w:top w:w="90" w:type="dxa"/>
              <w:start w:w="90" w:type="dxa"/>
              <w:bottom w:w="90" w:type="dxa"/>
              <w:end w:w="90" w:type="dxa"/>
            </w:tcMar>
          </w:tcPr>
          <w:p>
            <w:pPr>
              <w:spacing w:after="40" w:before="40"/>
            </w:pPr>
            <w:r>
              <w:rPr>
                <w:rFonts w:ascii="Aptos" w:hAnsi="Aptos"/>
                <w:sz w:val="17"/>
              </w:rPr>
              <w:t>PBS-005</w:t>
            </w:r>
          </w:p>
        </w:tc>
        <w:tc>
          <w:tcPr>
            <w:tcW w:type="dxa" w:w="2556"/>
            <w:vAlign w:val="center"/>
            <w:tcMar>
              <w:top w:w="90" w:type="dxa"/>
              <w:start w:w="90" w:type="dxa"/>
              <w:bottom w:w="90" w:type="dxa"/>
              <w:end w:w="90" w:type="dxa"/>
            </w:tcMar>
          </w:tcPr>
          <w:p>
            <w:pPr>
              <w:spacing w:after="40" w:before="40"/>
            </w:pPr>
            <w:r>
              <w:rPr>
                <w:rFonts w:ascii="Aptos" w:hAnsi="Aptos"/>
                <w:sz w:val="17"/>
              </w:rPr>
              <w:t>pH or compatibility review should be performed when assay requires it.</w:t>
            </w:r>
          </w:p>
        </w:tc>
        <w:tc>
          <w:tcPr>
            <w:tcW w:type="dxa" w:w="2556"/>
            <w:vAlign w:val="center"/>
            <w:tcMar>
              <w:top w:w="90" w:type="dxa"/>
              <w:start w:w="90" w:type="dxa"/>
              <w:bottom w:w="90" w:type="dxa"/>
              <w:end w:w="90" w:type="dxa"/>
            </w:tcMar>
          </w:tcPr>
          <w:p>
            <w:pPr>
              <w:spacing w:after="40" w:before="40"/>
            </w:pPr>
            <w:r>
              <w:rPr>
                <w:rFonts w:ascii="Aptos" w:hAnsi="Aptos"/>
                <w:sz w:val="17"/>
              </w:rPr>
              <w:t>WARNING if assay compatibility is unknown.</w:t>
            </w:r>
          </w:p>
        </w:tc>
        <w:tc>
          <w:tcPr>
            <w:tcW w:type="dxa" w:w="2556"/>
            <w:vAlign w:val="center"/>
            <w:tcMar>
              <w:top w:w="90" w:type="dxa"/>
              <w:start w:w="90" w:type="dxa"/>
              <w:bottom w:w="90" w:type="dxa"/>
              <w:end w:w="90" w:type="dxa"/>
            </w:tcMar>
          </w:tcPr>
          <w:p>
            <w:pPr>
              <w:spacing w:after="40" w:before="40"/>
            </w:pPr>
            <w:r>
              <w:rPr>
                <w:rFonts w:ascii="Aptos" w:hAnsi="Aptos"/>
                <w:sz w:val="17"/>
              </w:rPr>
              <w:t>Assay compatibility note</w:t>
            </w:r>
          </w:p>
        </w:tc>
      </w:tr>
    </w:tbl>
    <w:p/>
    <w:p>
      <w:pPr>
        <w:pStyle w:val="Heading2"/>
      </w:pPr>
      <w:r>
        <w:rPr>
          <w:rFonts w:ascii="Aptos Display" w:hAnsi="Aptos Display"/>
          <w:color w:val="2F5496"/>
          <w:sz w:val="25"/>
        </w:rPr>
        <w:t>Handling Guidance</w:t>
      </w:r>
    </w:p>
    <w:p>
      <w:pPr>
        <w:pStyle w:val="ListBullet"/>
      </w:pPr>
      <w:r>
        <w:t>Inspect for cloudiness, precipitation, or crystallization.</w:t>
      </w:r>
    </w:p>
    <w:p>
      <w:pPr>
        <w:pStyle w:val="ListBullet"/>
      </w:pPr>
      <w:r>
        <w:t>Confirm storage condition and expiration date.</w:t>
      </w:r>
    </w:p>
    <w:p>
      <w:pPr>
        <w:pStyle w:val="ListBullet"/>
      </w:pPr>
      <w:r>
        <w:t>Confirm formulation compatibility with assay conditions.</w:t>
      </w:r>
    </w:p>
    <w:p>
      <w:pPr>
        <w:pStyle w:val="ListBullet"/>
      </w:pPr>
      <w:r>
        <w:t>Document any pH-sensitive requirements.</w:t>
      </w:r>
    </w:p>
    <w:p>
      <w:pPr>
        <w:pStyle w:val="Heading1"/>
      </w:pPr>
      <w:r>
        <w:rPr>
          <w:rFonts w:ascii="Aptos Display" w:hAnsi="Aptos Display"/>
          <w:color w:val="1F4E79"/>
          <w:sz w:val="30"/>
        </w:rPr>
        <w:t>11. Buffer-Based Stock SOP</w:t>
      </w:r>
    </w:p>
    <w:p>
      <w:r>
        <w:t>Buffer-based stocks include custom aqueous formulations. The primary considerations are documented buffer composition, storage condition, concentration, location, and compatibility with downstream assay components.</w:t>
      </w:r>
    </w:p>
    <w:p>
      <w:pPr>
        <w:pStyle w:val="Heading2"/>
      </w:pPr>
      <w:r>
        <w:rPr>
          <w:rFonts w:ascii="Aptos Display" w:hAnsi="Aptos Display"/>
          <w:color w:val="2F5496"/>
          <w:sz w:val="25"/>
        </w:rPr>
        <w:t>Business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BUF-001</w:t>
            </w:r>
          </w:p>
        </w:tc>
        <w:tc>
          <w:tcPr>
            <w:tcW w:type="dxa" w:w="2556"/>
            <w:vAlign w:val="center"/>
            <w:tcMar>
              <w:top w:w="90" w:type="dxa"/>
              <w:start w:w="90" w:type="dxa"/>
              <w:bottom w:w="90" w:type="dxa"/>
              <w:end w:w="90" w:type="dxa"/>
            </w:tcMar>
          </w:tcPr>
          <w:p>
            <w:pPr>
              <w:spacing w:after="40" w:before="40"/>
            </w:pPr>
            <w:r>
              <w:rPr>
                <w:rFonts w:ascii="Aptos" w:hAnsi="Aptos"/>
                <w:sz w:val="17"/>
              </w:rPr>
              <w:t>Buffer formulation must be documented when required.</w:t>
            </w:r>
          </w:p>
        </w:tc>
        <w:tc>
          <w:tcPr>
            <w:tcW w:type="dxa" w:w="2556"/>
            <w:vAlign w:val="center"/>
            <w:tcMar>
              <w:top w:w="90" w:type="dxa"/>
              <w:start w:w="90" w:type="dxa"/>
              <w:bottom w:w="90" w:type="dxa"/>
              <w:end w:w="90" w:type="dxa"/>
            </w:tcMar>
          </w:tcPr>
          <w:p>
            <w:pPr>
              <w:spacing w:after="40" w:before="40"/>
            </w:pPr>
            <w:r>
              <w:rPr>
                <w:rFonts w:ascii="Aptos" w:hAnsi="Aptos"/>
                <w:sz w:val="17"/>
              </w:rPr>
              <w:t>WARNING or INSUFFICIENT INFORMATION if missing, depending on assay requirement.</w:t>
            </w:r>
          </w:p>
        </w:tc>
        <w:tc>
          <w:tcPr>
            <w:tcW w:type="dxa" w:w="2556"/>
            <w:vAlign w:val="center"/>
            <w:tcMar>
              <w:top w:w="90" w:type="dxa"/>
              <w:start w:w="90" w:type="dxa"/>
              <w:bottom w:w="90" w:type="dxa"/>
              <w:end w:w="90" w:type="dxa"/>
            </w:tcMar>
          </w:tcPr>
          <w:p>
            <w:pPr>
              <w:spacing w:after="40" w:before="40"/>
            </w:pPr>
            <w:r>
              <w:rPr>
                <w:rFonts w:ascii="Aptos" w:hAnsi="Aptos"/>
                <w:sz w:val="17"/>
              </w:rPr>
              <w:t>Buffer composition field or note</w:t>
            </w:r>
          </w:p>
        </w:tc>
      </w:tr>
      <w:tr>
        <w:tc>
          <w:tcPr>
            <w:tcW w:type="dxa" w:w="2556"/>
            <w:vAlign w:val="center"/>
            <w:tcMar>
              <w:top w:w="90" w:type="dxa"/>
              <w:start w:w="90" w:type="dxa"/>
              <w:bottom w:w="90" w:type="dxa"/>
              <w:end w:w="90" w:type="dxa"/>
            </w:tcMar>
          </w:tcPr>
          <w:p>
            <w:pPr>
              <w:spacing w:after="40" w:before="40"/>
            </w:pPr>
            <w:r>
              <w:rPr>
                <w:rFonts w:ascii="Aptos" w:hAnsi="Aptos"/>
                <w:sz w:val="17"/>
              </w:rPr>
              <w:t>BUF-002</w:t>
            </w:r>
          </w:p>
        </w:tc>
        <w:tc>
          <w:tcPr>
            <w:tcW w:type="dxa" w:w="2556"/>
            <w:vAlign w:val="center"/>
            <w:tcMar>
              <w:top w:w="90" w:type="dxa"/>
              <w:start w:w="90" w:type="dxa"/>
              <w:bottom w:w="90" w:type="dxa"/>
              <w:end w:w="90" w:type="dxa"/>
            </w:tcMar>
          </w:tcPr>
          <w:p>
            <w:pPr>
              <w:spacing w:after="40" w:before="40"/>
            </w:pPr>
            <w:r>
              <w:rPr>
                <w:rFonts w:ascii="Aptos" w:hAnsi="Aptos"/>
                <w:sz w:val="17"/>
              </w:rPr>
              <w:t>Storage temperature must be recorded.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Storage temperature</w:t>
            </w:r>
          </w:p>
        </w:tc>
      </w:tr>
      <w:tr>
        <w:tc>
          <w:tcPr>
            <w:tcW w:type="dxa" w:w="2556"/>
            <w:vAlign w:val="center"/>
            <w:tcMar>
              <w:top w:w="90" w:type="dxa"/>
              <w:start w:w="90" w:type="dxa"/>
              <w:bottom w:w="90" w:type="dxa"/>
              <w:end w:w="90" w:type="dxa"/>
            </w:tcMar>
          </w:tcPr>
          <w:p>
            <w:pPr>
              <w:spacing w:after="40" w:before="40"/>
            </w:pPr>
            <w:r>
              <w:rPr>
                <w:rFonts w:ascii="Aptos" w:hAnsi="Aptos"/>
                <w:sz w:val="17"/>
              </w:rPr>
              <w:t>BUF-003</w:t>
            </w:r>
          </w:p>
        </w:tc>
        <w:tc>
          <w:tcPr>
            <w:tcW w:type="dxa" w:w="2556"/>
            <w:vAlign w:val="center"/>
            <w:tcMar>
              <w:top w:w="90" w:type="dxa"/>
              <w:start w:w="90" w:type="dxa"/>
              <w:bottom w:w="90" w:type="dxa"/>
              <w:end w:w="90" w:type="dxa"/>
            </w:tcMar>
          </w:tcPr>
          <w:p>
            <w:pPr>
              <w:spacing w:after="40" w:before="40"/>
            </w:pPr>
            <w:r>
              <w:rPr>
                <w:rFonts w:ascii="Aptos" w:hAnsi="Aptos"/>
                <w:sz w:val="17"/>
              </w:rPr>
              <w:t>No visible precipitation or phase separation.</w:t>
            </w:r>
          </w:p>
        </w:tc>
        <w:tc>
          <w:tcPr>
            <w:tcW w:type="dxa" w:w="2556"/>
            <w:vAlign w:val="center"/>
            <w:tcMar>
              <w:top w:w="90" w:type="dxa"/>
              <w:start w:w="90" w:type="dxa"/>
              <w:bottom w:w="90" w:type="dxa"/>
              <w:end w:w="90" w:type="dxa"/>
            </w:tcMar>
          </w:tcPr>
          <w:p>
            <w:pPr>
              <w:spacing w:after="40" w:before="40"/>
            </w:pPr>
            <w:r>
              <w:rPr>
                <w:rFonts w:ascii="Aptos" w:hAnsi="Aptos"/>
                <w:sz w:val="17"/>
              </w:rPr>
              <w:t>BLOCK if compromised.</w:t>
            </w:r>
          </w:p>
        </w:tc>
        <w:tc>
          <w:tcPr>
            <w:tcW w:type="dxa" w:w="2556"/>
            <w:vAlign w:val="center"/>
            <w:tcMar>
              <w:top w:w="90" w:type="dxa"/>
              <w:start w:w="90" w:type="dxa"/>
              <w:bottom w:w="90" w:type="dxa"/>
              <w:end w:w="90" w:type="dxa"/>
            </w:tcMar>
          </w:tcPr>
          <w:p>
            <w:pPr>
              <w:spacing w:after="40" w:before="40"/>
            </w:pPr>
            <w:r>
              <w:rPr>
                <w:rFonts w:ascii="Aptos" w:hAnsi="Aptos"/>
                <w:sz w:val="17"/>
              </w:rPr>
              <w:t>Inspection status</w:t>
            </w:r>
          </w:p>
        </w:tc>
      </w:tr>
      <w:tr>
        <w:tc>
          <w:tcPr>
            <w:tcW w:type="dxa" w:w="2556"/>
            <w:vAlign w:val="center"/>
            <w:tcMar>
              <w:top w:w="90" w:type="dxa"/>
              <w:start w:w="90" w:type="dxa"/>
              <w:bottom w:w="90" w:type="dxa"/>
              <w:end w:w="90" w:type="dxa"/>
            </w:tcMar>
          </w:tcPr>
          <w:p>
            <w:pPr>
              <w:spacing w:after="40" w:before="40"/>
            </w:pPr>
            <w:r>
              <w:rPr>
                <w:rFonts w:ascii="Aptos" w:hAnsi="Aptos"/>
                <w:sz w:val="17"/>
              </w:rPr>
              <w:t>BUF-004</w:t>
            </w:r>
          </w:p>
        </w:tc>
        <w:tc>
          <w:tcPr>
            <w:tcW w:type="dxa" w:w="2556"/>
            <w:vAlign w:val="center"/>
            <w:tcMar>
              <w:top w:w="90" w:type="dxa"/>
              <w:start w:w="90" w:type="dxa"/>
              <w:bottom w:w="90" w:type="dxa"/>
              <w:end w:w="90" w:type="dxa"/>
            </w:tcMar>
          </w:tcPr>
          <w:p>
            <w:pPr>
              <w:spacing w:after="40" w:before="40"/>
            </w:pPr>
            <w:r>
              <w:rPr>
                <w:rFonts w:ascii="Aptos" w:hAnsi="Aptos"/>
                <w:sz w:val="17"/>
              </w:rPr>
              <w:t>Stock concentration must be documented.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Stock concentration</w:t>
            </w:r>
          </w:p>
        </w:tc>
      </w:tr>
      <w:tr>
        <w:tc>
          <w:tcPr>
            <w:tcW w:type="dxa" w:w="2556"/>
            <w:vAlign w:val="center"/>
            <w:tcMar>
              <w:top w:w="90" w:type="dxa"/>
              <w:start w:w="90" w:type="dxa"/>
              <w:bottom w:w="90" w:type="dxa"/>
              <w:end w:w="90" w:type="dxa"/>
            </w:tcMar>
          </w:tcPr>
          <w:p>
            <w:pPr>
              <w:spacing w:after="40" w:before="40"/>
            </w:pPr>
            <w:r>
              <w:rPr>
                <w:rFonts w:ascii="Aptos" w:hAnsi="Aptos"/>
                <w:sz w:val="17"/>
              </w:rPr>
              <w:t>BUF-005</w:t>
            </w:r>
          </w:p>
        </w:tc>
        <w:tc>
          <w:tcPr>
            <w:tcW w:type="dxa" w:w="2556"/>
            <w:vAlign w:val="center"/>
            <w:tcMar>
              <w:top w:w="90" w:type="dxa"/>
              <w:start w:w="90" w:type="dxa"/>
              <w:bottom w:w="90" w:type="dxa"/>
              <w:end w:w="90" w:type="dxa"/>
            </w:tcMar>
          </w:tcPr>
          <w:p>
            <w:pPr>
              <w:spacing w:after="40" w:before="40"/>
            </w:pPr>
            <w:r>
              <w:rPr>
                <w:rFonts w:ascii="Aptos" w:hAnsi="Aptos"/>
                <w:sz w:val="17"/>
              </w:rPr>
              <w:t>Location must be recorded.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missing.</w:t>
            </w:r>
          </w:p>
        </w:tc>
        <w:tc>
          <w:tcPr>
            <w:tcW w:type="dxa" w:w="2556"/>
            <w:vAlign w:val="center"/>
            <w:tcMar>
              <w:top w:w="90" w:type="dxa"/>
              <w:start w:w="90" w:type="dxa"/>
              <w:bottom w:w="90" w:type="dxa"/>
              <w:end w:w="90" w:type="dxa"/>
            </w:tcMar>
          </w:tcPr>
          <w:p>
            <w:pPr>
              <w:spacing w:after="40" w:before="40"/>
            </w:pPr>
            <w:r>
              <w:rPr>
                <w:rFonts w:ascii="Aptos" w:hAnsi="Aptos"/>
                <w:sz w:val="17"/>
              </w:rPr>
              <w:t>Storage location</w:t>
            </w:r>
          </w:p>
        </w:tc>
      </w:tr>
    </w:tbl>
    <w:p/>
    <w:p>
      <w:pPr>
        <w:pStyle w:val="Heading2"/>
      </w:pPr>
      <w:r>
        <w:rPr>
          <w:rFonts w:ascii="Aptos Display" w:hAnsi="Aptos Display"/>
          <w:color w:val="2F5496"/>
          <w:sz w:val="25"/>
        </w:rPr>
        <w:t>Handling Guidance</w:t>
      </w:r>
    </w:p>
    <w:p>
      <w:pPr>
        <w:pStyle w:val="ListBullet"/>
      </w:pPr>
      <w:r>
        <w:t>Verify formulation before dilution planning.</w:t>
      </w:r>
    </w:p>
    <w:p>
      <w:pPr>
        <w:pStyle w:val="ListBullet"/>
      </w:pPr>
      <w:r>
        <w:t>Confirm compatibility with assay buffer and biology.</w:t>
      </w:r>
    </w:p>
    <w:p>
      <w:pPr>
        <w:pStyle w:val="ListBullet"/>
      </w:pPr>
      <w:r>
        <w:t>Inspect before dispensing.</w:t>
      </w:r>
    </w:p>
    <w:p>
      <w:pPr>
        <w:pStyle w:val="ListBullet"/>
      </w:pPr>
      <w:r>
        <w:t>Treat missing buffer composition as a review item.</w:t>
      </w:r>
    </w:p>
    <w:p>
      <w:pPr>
        <w:pStyle w:val="Heading1"/>
      </w:pPr>
      <w:r>
        <w:rPr>
          <w:rFonts w:ascii="Aptos Display" w:hAnsi="Aptos Display"/>
          <w:color w:val="1F4E79"/>
          <w:sz w:val="30"/>
        </w:rPr>
        <w:t>12. Plate Sealing Requirements</w:t>
      </w:r>
    </w:p>
    <w:p>
      <w:r>
        <w:t>All compound-containing plates should be sealed promptly after preparation to reduce contamination risk, evaporation, solvent loss, and handling variability. The appropriate seal depends on plate type, solvent system, downstream workflow, and whether the plate is a source, intermediate, or assay-ready plate.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PS-001</w:t>
            </w:r>
          </w:p>
        </w:tc>
        <w:tc>
          <w:tcPr>
            <w:tcW w:type="dxa" w:w="2556"/>
            <w:vAlign w:val="center"/>
            <w:tcMar>
              <w:top w:w="90" w:type="dxa"/>
              <w:start w:w="90" w:type="dxa"/>
              <w:bottom w:w="90" w:type="dxa"/>
              <w:end w:w="90" w:type="dxa"/>
            </w:tcMar>
          </w:tcPr>
          <w:p>
            <w:pPr>
              <w:spacing w:after="40" w:before="40"/>
            </w:pPr>
            <w:r>
              <w:rPr>
                <w:rFonts w:ascii="Aptos" w:hAnsi="Aptos"/>
                <w:sz w:val="17"/>
              </w:rPr>
              <w:t>All compound-containing source, intermediate, and assay-ready plates must be sealed after dispensing.</w:t>
            </w:r>
          </w:p>
        </w:tc>
        <w:tc>
          <w:tcPr>
            <w:tcW w:type="dxa" w:w="2556"/>
            <w:vAlign w:val="center"/>
            <w:tcMar>
              <w:top w:w="90" w:type="dxa"/>
              <w:start w:w="90" w:type="dxa"/>
              <w:bottom w:w="90" w:type="dxa"/>
              <w:end w:w="90" w:type="dxa"/>
            </w:tcMar>
          </w:tcPr>
          <w:p>
            <w:pPr>
              <w:spacing w:after="40" w:before="40"/>
            </w:pPr>
            <w:r>
              <w:rPr>
                <w:rFonts w:ascii="Aptos" w:hAnsi="Aptos"/>
                <w:sz w:val="17"/>
              </w:rPr>
              <w:t>PASS when documented seal is applied; WARNING if seal type is missing; BLOCK if plate is intentionally left unsealed without justification.</w:t>
            </w:r>
          </w:p>
        </w:tc>
        <w:tc>
          <w:tcPr>
            <w:tcW w:type="dxa" w:w="2556"/>
            <w:vAlign w:val="center"/>
            <w:tcMar>
              <w:top w:w="90" w:type="dxa"/>
              <w:start w:w="90" w:type="dxa"/>
              <w:bottom w:w="90" w:type="dxa"/>
              <w:end w:w="90" w:type="dxa"/>
            </w:tcMar>
          </w:tcPr>
          <w:p>
            <w:pPr>
              <w:spacing w:after="40" w:before="40"/>
            </w:pPr>
            <w:r>
              <w:rPr>
                <w:rFonts w:ascii="Aptos" w:hAnsi="Aptos"/>
                <w:sz w:val="17"/>
              </w:rPr>
              <w:t>Plate ID, seal type, timestamp</w:t>
            </w:r>
          </w:p>
        </w:tc>
      </w:tr>
      <w:tr>
        <w:tc>
          <w:tcPr>
            <w:tcW w:type="dxa" w:w="2556"/>
            <w:vAlign w:val="center"/>
            <w:tcMar>
              <w:top w:w="90" w:type="dxa"/>
              <w:start w:w="90" w:type="dxa"/>
              <w:bottom w:w="90" w:type="dxa"/>
              <w:end w:w="90" w:type="dxa"/>
            </w:tcMar>
          </w:tcPr>
          <w:p>
            <w:pPr>
              <w:spacing w:after="40" w:before="40"/>
            </w:pPr>
            <w:r>
              <w:rPr>
                <w:rFonts w:ascii="Aptos" w:hAnsi="Aptos"/>
                <w:sz w:val="17"/>
              </w:rPr>
              <w:t>PS-002</w:t>
            </w:r>
          </w:p>
        </w:tc>
        <w:tc>
          <w:tcPr>
            <w:tcW w:type="dxa" w:w="2556"/>
            <w:vAlign w:val="center"/>
            <w:tcMar>
              <w:top w:w="90" w:type="dxa"/>
              <w:start w:w="90" w:type="dxa"/>
              <w:bottom w:w="90" w:type="dxa"/>
              <w:end w:w="90" w:type="dxa"/>
            </w:tcMar>
          </w:tcPr>
          <w:p>
            <w:pPr>
              <w:spacing w:after="40" w:before="40"/>
            </w:pPr>
            <w:r>
              <w:rPr>
                <w:rFonts w:ascii="Aptos" w:hAnsi="Aptos"/>
                <w:sz w:val="17"/>
              </w:rPr>
              <w:t>Seal must be compatible with the solvent system present in the plate.</w:t>
            </w:r>
          </w:p>
        </w:tc>
        <w:tc>
          <w:tcPr>
            <w:tcW w:type="dxa" w:w="2556"/>
            <w:vAlign w:val="center"/>
            <w:tcMar>
              <w:top w:w="90" w:type="dxa"/>
              <w:start w:w="90" w:type="dxa"/>
              <w:bottom w:w="90" w:type="dxa"/>
              <w:end w:w="90" w:type="dxa"/>
            </w:tcMar>
          </w:tcPr>
          <w:p>
            <w:pPr>
              <w:spacing w:after="40" w:before="40"/>
            </w:pPr>
            <w:r>
              <w:rPr>
                <w:rFonts w:ascii="Aptos" w:hAnsi="Aptos"/>
                <w:sz w:val="17"/>
              </w:rPr>
              <w:t>PASS when compatible; WARNING if compatibility is unknown; BLOCK if known incompatible seal is used.</w:t>
            </w:r>
          </w:p>
        </w:tc>
        <w:tc>
          <w:tcPr>
            <w:tcW w:type="dxa" w:w="2556"/>
            <w:vAlign w:val="center"/>
            <w:tcMar>
              <w:top w:w="90" w:type="dxa"/>
              <w:start w:w="90" w:type="dxa"/>
              <w:bottom w:w="90" w:type="dxa"/>
              <w:end w:w="90" w:type="dxa"/>
            </w:tcMar>
          </w:tcPr>
          <w:p>
            <w:pPr>
              <w:spacing w:after="40" w:before="40"/>
            </w:pPr>
            <w:r>
              <w:rPr>
                <w:rFonts w:ascii="Aptos" w:hAnsi="Aptos"/>
                <w:sz w:val="17"/>
              </w:rPr>
              <w:t>Solvent, seal material, compatibility note</w:t>
            </w:r>
          </w:p>
        </w:tc>
      </w:tr>
      <w:tr>
        <w:tc>
          <w:tcPr>
            <w:tcW w:type="dxa" w:w="2556"/>
            <w:vAlign w:val="center"/>
            <w:tcMar>
              <w:top w:w="90" w:type="dxa"/>
              <w:start w:w="90" w:type="dxa"/>
              <w:bottom w:w="90" w:type="dxa"/>
              <w:end w:w="90" w:type="dxa"/>
            </w:tcMar>
          </w:tcPr>
          <w:p>
            <w:pPr>
              <w:spacing w:after="40" w:before="40"/>
            </w:pPr>
            <w:r>
              <w:rPr>
                <w:rFonts w:ascii="Aptos" w:hAnsi="Aptos"/>
                <w:sz w:val="17"/>
              </w:rPr>
              <w:t>PS-003</w:t>
            </w:r>
          </w:p>
        </w:tc>
        <w:tc>
          <w:tcPr>
            <w:tcW w:type="dxa" w:w="2556"/>
            <w:vAlign w:val="center"/>
            <w:tcMar>
              <w:top w:w="90" w:type="dxa"/>
              <w:start w:w="90" w:type="dxa"/>
              <w:bottom w:w="90" w:type="dxa"/>
              <w:end w:w="90" w:type="dxa"/>
            </w:tcMar>
          </w:tcPr>
          <w:p>
            <w:pPr>
              <w:spacing w:after="40" w:before="40"/>
            </w:pPr>
            <w:r>
              <w:rPr>
                <w:rFonts w:ascii="Aptos" w:hAnsi="Aptos"/>
                <w:sz w:val="17"/>
              </w:rPr>
              <w:t>Source and intermediate plates containing volatile solvents require evaporation-resistant seals.</w:t>
            </w:r>
          </w:p>
        </w:tc>
        <w:tc>
          <w:tcPr>
            <w:tcW w:type="dxa" w:w="2556"/>
            <w:vAlign w:val="center"/>
            <w:tcMar>
              <w:top w:w="90" w:type="dxa"/>
              <w:start w:w="90" w:type="dxa"/>
              <w:bottom w:w="90" w:type="dxa"/>
              <w:end w:w="90" w:type="dxa"/>
            </w:tcMar>
          </w:tcPr>
          <w:p>
            <w:pPr>
              <w:spacing w:after="40" w:before="40"/>
            </w:pPr>
            <w:r>
              <w:rPr>
                <w:rFonts w:ascii="Aptos" w:hAnsi="Aptos"/>
                <w:sz w:val="17"/>
              </w:rPr>
              <w:t>WARNING if volatile solvent plate uses undocumented or non-resistant seal.</w:t>
            </w:r>
          </w:p>
        </w:tc>
        <w:tc>
          <w:tcPr>
            <w:tcW w:type="dxa" w:w="2556"/>
            <w:vAlign w:val="center"/>
            <w:tcMar>
              <w:top w:w="90" w:type="dxa"/>
              <w:start w:w="90" w:type="dxa"/>
              <w:bottom w:w="90" w:type="dxa"/>
              <w:end w:w="90" w:type="dxa"/>
            </w:tcMar>
          </w:tcPr>
          <w:p>
            <w:pPr>
              <w:spacing w:after="40" w:before="40"/>
            </w:pPr>
            <w:r>
              <w:rPr>
                <w:rFonts w:ascii="Aptos" w:hAnsi="Aptos"/>
                <w:sz w:val="17"/>
              </w:rPr>
              <w:t>Solvent, seal type, handling note</w:t>
            </w:r>
          </w:p>
        </w:tc>
      </w:tr>
      <w:tr>
        <w:tc>
          <w:tcPr>
            <w:tcW w:type="dxa" w:w="2556"/>
            <w:vAlign w:val="center"/>
            <w:tcMar>
              <w:top w:w="90" w:type="dxa"/>
              <w:start w:w="90" w:type="dxa"/>
              <w:bottom w:w="90" w:type="dxa"/>
              <w:end w:w="90" w:type="dxa"/>
            </w:tcMar>
          </w:tcPr>
          <w:p>
            <w:pPr>
              <w:spacing w:after="40" w:before="40"/>
            </w:pPr>
            <w:r>
              <w:rPr>
                <w:rFonts w:ascii="Aptos" w:hAnsi="Aptos"/>
                <w:sz w:val="17"/>
              </w:rPr>
              <w:t>PS-004</w:t>
            </w:r>
          </w:p>
        </w:tc>
        <w:tc>
          <w:tcPr>
            <w:tcW w:type="dxa" w:w="2556"/>
            <w:vAlign w:val="center"/>
            <w:tcMar>
              <w:top w:w="90" w:type="dxa"/>
              <w:start w:w="90" w:type="dxa"/>
              <w:bottom w:w="90" w:type="dxa"/>
              <w:end w:w="90" w:type="dxa"/>
            </w:tcMar>
          </w:tcPr>
          <w:p>
            <w:pPr>
              <w:spacing w:after="40" w:before="40"/>
            </w:pPr>
            <w:r>
              <w:rPr>
                <w:rFonts w:ascii="Aptos" w:hAnsi="Aptos"/>
                <w:sz w:val="17"/>
              </w:rPr>
              <w:t>Assay plates requiring optical readout should use assay-compatible optical seals when applicable.</w:t>
            </w:r>
          </w:p>
        </w:tc>
        <w:tc>
          <w:tcPr>
            <w:tcW w:type="dxa" w:w="2556"/>
            <w:vAlign w:val="center"/>
            <w:tcMar>
              <w:top w:w="90" w:type="dxa"/>
              <w:start w:w="90" w:type="dxa"/>
              <w:bottom w:w="90" w:type="dxa"/>
              <w:end w:w="90" w:type="dxa"/>
            </w:tcMar>
          </w:tcPr>
          <w:p>
            <w:pPr>
              <w:spacing w:after="40" w:before="40"/>
            </w:pPr>
            <w:r>
              <w:rPr>
                <w:rFonts w:ascii="Aptos" w:hAnsi="Aptos"/>
                <w:sz w:val="17"/>
              </w:rPr>
              <w:t>WARNING if seal type may interfere with readout.</w:t>
            </w:r>
          </w:p>
        </w:tc>
        <w:tc>
          <w:tcPr>
            <w:tcW w:type="dxa" w:w="2556"/>
            <w:vAlign w:val="center"/>
            <w:tcMar>
              <w:top w:w="90" w:type="dxa"/>
              <w:start w:w="90" w:type="dxa"/>
              <w:bottom w:w="90" w:type="dxa"/>
              <w:end w:w="90" w:type="dxa"/>
            </w:tcMar>
          </w:tcPr>
          <w:p>
            <w:pPr>
              <w:spacing w:after="40" w:before="40"/>
            </w:pPr>
            <w:r>
              <w:rPr>
                <w:rFonts w:ascii="Aptos" w:hAnsi="Aptos"/>
                <w:sz w:val="17"/>
              </w:rPr>
              <w:t>Assay type, readout mode, seal type</w:t>
            </w:r>
          </w:p>
        </w:tc>
      </w:tr>
      <w:tr>
        <w:tc>
          <w:tcPr>
            <w:tcW w:type="dxa" w:w="2556"/>
            <w:vAlign w:val="center"/>
            <w:tcMar>
              <w:top w:w="90" w:type="dxa"/>
              <w:start w:w="90" w:type="dxa"/>
              <w:bottom w:w="90" w:type="dxa"/>
              <w:end w:w="90" w:type="dxa"/>
            </w:tcMar>
          </w:tcPr>
          <w:p>
            <w:pPr>
              <w:spacing w:after="40" w:before="40"/>
            </w:pPr>
            <w:r>
              <w:rPr>
                <w:rFonts w:ascii="Aptos" w:hAnsi="Aptos"/>
                <w:sz w:val="17"/>
              </w:rPr>
              <w:t>PS-005</w:t>
            </w:r>
          </w:p>
        </w:tc>
        <w:tc>
          <w:tcPr>
            <w:tcW w:type="dxa" w:w="2556"/>
            <w:vAlign w:val="center"/>
            <w:tcMar>
              <w:top w:w="90" w:type="dxa"/>
              <w:start w:w="90" w:type="dxa"/>
              <w:bottom w:w="90" w:type="dxa"/>
              <w:end w:w="90" w:type="dxa"/>
            </w:tcMar>
          </w:tcPr>
          <w:p>
            <w:pPr>
              <w:spacing w:after="40" w:before="40"/>
            </w:pPr>
            <w:r>
              <w:rPr>
                <w:rFonts w:ascii="Aptos" w:hAnsi="Aptos"/>
                <w:sz w:val="17"/>
              </w:rPr>
              <w:t>Any evidence of failed seal, leakage, condensation compromise, or plate deformation must be reviewed.</w:t>
            </w:r>
          </w:p>
        </w:tc>
        <w:tc>
          <w:tcPr>
            <w:tcW w:type="dxa" w:w="2556"/>
            <w:vAlign w:val="center"/>
            <w:tcMar>
              <w:top w:w="90" w:type="dxa"/>
              <w:start w:w="90" w:type="dxa"/>
              <w:bottom w:w="90" w:type="dxa"/>
              <w:end w:w="90" w:type="dxa"/>
            </w:tcMar>
          </w:tcPr>
          <w:p>
            <w:pPr>
              <w:spacing w:after="40" w:before="40"/>
            </w:pPr>
            <w:r>
              <w:rPr>
                <w:rFonts w:ascii="Aptos" w:hAnsi="Aptos"/>
                <w:sz w:val="17"/>
              </w:rPr>
              <w:t>BLOCK if seal failure compromises sample integrity.</w:t>
            </w:r>
          </w:p>
        </w:tc>
        <w:tc>
          <w:tcPr>
            <w:tcW w:type="dxa" w:w="2556"/>
            <w:vAlign w:val="center"/>
            <w:tcMar>
              <w:top w:w="90" w:type="dxa"/>
              <w:start w:w="90" w:type="dxa"/>
              <w:bottom w:w="90" w:type="dxa"/>
              <w:end w:w="90" w:type="dxa"/>
            </w:tcMar>
          </w:tcPr>
          <w:p>
            <w:pPr>
              <w:spacing w:after="40" w:before="40"/>
            </w:pPr>
            <w:r>
              <w:rPr>
                <w:rFonts w:ascii="Aptos" w:hAnsi="Aptos"/>
                <w:sz w:val="17"/>
              </w:rPr>
              <w:t>Seal inspection status</w:t>
            </w:r>
          </w:p>
        </w:tc>
      </w:tr>
    </w:tbl>
    <w:p/>
    <w:p>
      <w:pPr>
        <w:pStyle w:val="Heading2"/>
      </w:pPr>
      <w:r>
        <w:rPr>
          <w:rFonts w:ascii="Aptos Display" w:hAnsi="Aptos Display"/>
          <w:color w:val="2F5496"/>
          <w:sz w:val="25"/>
        </w:rPr>
        <w:t>Recommended Seal Type by Plate Category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Plate Category</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Common Seal Type</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When Appropriate</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App Decision Logic</w:t>
            </w:r>
          </w:p>
        </w:tc>
      </w:tr>
      <w:tr>
        <w:tc>
          <w:tcPr>
            <w:tcW w:type="dxa" w:w="2556"/>
            <w:vAlign w:val="center"/>
            <w:tcMar>
              <w:top w:w="90" w:type="dxa"/>
              <w:start w:w="90" w:type="dxa"/>
              <w:bottom w:w="90" w:type="dxa"/>
              <w:end w:w="90" w:type="dxa"/>
            </w:tcMar>
          </w:tcPr>
          <w:p>
            <w:pPr>
              <w:spacing w:after="40" w:before="40"/>
            </w:pPr>
            <w:r>
              <w:rPr>
                <w:rFonts w:ascii="Aptos" w:hAnsi="Aptos"/>
                <w:sz w:val="17"/>
              </w:rPr>
              <w:t>Source Plate</w:t>
            </w:r>
          </w:p>
        </w:tc>
        <w:tc>
          <w:tcPr>
            <w:tcW w:type="dxa" w:w="2556"/>
            <w:vAlign w:val="center"/>
            <w:tcMar>
              <w:top w:w="90" w:type="dxa"/>
              <w:start w:w="90" w:type="dxa"/>
              <w:bottom w:w="90" w:type="dxa"/>
              <w:end w:w="90" w:type="dxa"/>
            </w:tcMar>
          </w:tcPr>
          <w:p>
            <w:pPr>
              <w:spacing w:after="40" w:before="40"/>
            </w:pPr>
            <w:r>
              <w:rPr>
                <w:rFonts w:ascii="Aptos" w:hAnsi="Aptos"/>
                <w:sz w:val="17"/>
              </w:rPr>
              <w:t>Pierceable foil, chemical-resistant foil, or heat seal</w:t>
            </w:r>
          </w:p>
        </w:tc>
        <w:tc>
          <w:tcPr>
            <w:tcW w:type="dxa" w:w="2556"/>
            <w:vAlign w:val="center"/>
            <w:tcMar>
              <w:top w:w="90" w:type="dxa"/>
              <w:start w:w="90" w:type="dxa"/>
              <w:bottom w:w="90" w:type="dxa"/>
              <w:end w:w="90" w:type="dxa"/>
            </w:tcMar>
          </w:tcPr>
          <w:p>
            <w:pPr>
              <w:spacing w:after="40" w:before="40"/>
            </w:pPr>
            <w:r>
              <w:rPr>
                <w:rFonts w:ascii="Aptos" w:hAnsi="Aptos"/>
                <w:sz w:val="17"/>
              </w:rPr>
              <w:t>Longer handling, acoustic source workflows, volatile or organic solvent stocks</w:t>
            </w:r>
          </w:p>
        </w:tc>
        <w:tc>
          <w:tcPr>
            <w:tcW w:type="dxa" w:w="2556"/>
            <w:vAlign w:val="center"/>
            <w:tcMar>
              <w:top w:w="90" w:type="dxa"/>
              <w:start w:w="90" w:type="dxa"/>
              <w:bottom w:w="90" w:type="dxa"/>
              <w:end w:w="90" w:type="dxa"/>
            </w:tcMar>
          </w:tcPr>
          <w:p>
            <w:pPr>
              <w:spacing w:after="40" w:before="40"/>
            </w:pPr>
            <w:r>
              <w:rPr>
                <w:rFonts w:ascii="Aptos" w:hAnsi="Aptos"/>
                <w:sz w:val="17"/>
              </w:rPr>
              <w:t>Require documented compatibility and seal type</w:t>
            </w:r>
          </w:p>
        </w:tc>
      </w:tr>
      <w:tr>
        <w:tc>
          <w:tcPr>
            <w:tcW w:type="dxa" w:w="2556"/>
            <w:vAlign w:val="center"/>
            <w:tcMar>
              <w:top w:w="90" w:type="dxa"/>
              <w:start w:w="90" w:type="dxa"/>
              <w:bottom w:w="90" w:type="dxa"/>
              <w:end w:w="90" w:type="dxa"/>
            </w:tcMar>
          </w:tcPr>
          <w:p>
            <w:pPr>
              <w:spacing w:after="40" w:before="40"/>
            </w:pPr>
            <w:r>
              <w:rPr>
                <w:rFonts w:ascii="Aptos" w:hAnsi="Aptos"/>
                <w:sz w:val="17"/>
              </w:rPr>
              <w:t>Intermediate Plate</w:t>
            </w:r>
          </w:p>
        </w:tc>
        <w:tc>
          <w:tcPr>
            <w:tcW w:type="dxa" w:w="2556"/>
            <w:vAlign w:val="center"/>
            <w:tcMar>
              <w:top w:w="90" w:type="dxa"/>
              <w:start w:w="90" w:type="dxa"/>
              <w:bottom w:w="90" w:type="dxa"/>
              <w:end w:w="90" w:type="dxa"/>
            </w:tcMar>
          </w:tcPr>
          <w:p>
            <w:pPr>
              <w:spacing w:after="40" w:before="40"/>
            </w:pPr>
            <w:r>
              <w:rPr>
                <w:rFonts w:ascii="Aptos" w:hAnsi="Aptos"/>
                <w:sz w:val="17"/>
              </w:rPr>
              <w:t>Foil or solvent-resistant heat seal</w:t>
            </w:r>
          </w:p>
        </w:tc>
        <w:tc>
          <w:tcPr>
            <w:tcW w:type="dxa" w:w="2556"/>
            <w:vAlign w:val="center"/>
            <w:tcMar>
              <w:top w:w="90" w:type="dxa"/>
              <w:start w:w="90" w:type="dxa"/>
              <w:bottom w:w="90" w:type="dxa"/>
              <w:end w:w="90" w:type="dxa"/>
            </w:tcMar>
          </w:tcPr>
          <w:p>
            <w:pPr>
              <w:spacing w:after="40" w:before="40"/>
            </w:pPr>
            <w:r>
              <w:rPr>
                <w:rFonts w:ascii="Aptos" w:hAnsi="Aptos"/>
                <w:sz w:val="17"/>
              </w:rPr>
              <w:t>Prepared dilution plate, short-term source for assay transfer</w:t>
            </w:r>
          </w:p>
        </w:tc>
        <w:tc>
          <w:tcPr>
            <w:tcW w:type="dxa" w:w="2556"/>
            <w:vAlign w:val="center"/>
            <w:tcMar>
              <w:top w:w="90" w:type="dxa"/>
              <w:start w:w="90" w:type="dxa"/>
              <w:bottom w:w="90" w:type="dxa"/>
              <w:end w:w="90" w:type="dxa"/>
            </w:tcMar>
          </w:tcPr>
          <w:p>
            <w:pPr>
              <w:spacing w:after="40" w:before="40"/>
            </w:pPr>
            <w:r>
              <w:rPr>
                <w:rFonts w:ascii="Aptos" w:hAnsi="Aptos"/>
                <w:sz w:val="17"/>
              </w:rPr>
              <w:t>Flag if storage duration or seal compatibility is unknown</w:t>
            </w:r>
          </w:p>
        </w:tc>
      </w:tr>
      <w:tr>
        <w:tc>
          <w:tcPr>
            <w:tcW w:type="dxa" w:w="2556"/>
            <w:vAlign w:val="center"/>
            <w:tcMar>
              <w:top w:w="90" w:type="dxa"/>
              <w:start w:w="90" w:type="dxa"/>
              <w:bottom w:w="90" w:type="dxa"/>
              <w:end w:w="90" w:type="dxa"/>
            </w:tcMar>
          </w:tcPr>
          <w:p>
            <w:pPr>
              <w:spacing w:after="40" w:before="40"/>
            </w:pPr>
            <w:r>
              <w:rPr>
                <w:rFonts w:ascii="Aptos" w:hAnsi="Aptos"/>
                <w:sz w:val="17"/>
              </w:rPr>
              <w:t>Assay-Ready Plate</w:t>
            </w:r>
          </w:p>
        </w:tc>
        <w:tc>
          <w:tcPr>
            <w:tcW w:type="dxa" w:w="2556"/>
            <w:vAlign w:val="center"/>
            <w:tcMar>
              <w:top w:w="90" w:type="dxa"/>
              <w:start w:w="90" w:type="dxa"/>
              <w:bottom w:w="90" w:type="dxa"/>
              <w:end w:w="90" w:type="dxa"/>
            </w:tcMar>
          </w:tcPr>
          <w:p>
            <w:pPr>
              <w:spacing w:after="40" w:before="40"/>
            </w:pPr>
            <w:r>
              <w:rPr>
                <w:rFonts w:ascii="Aptos" w:hAnsi="Aptos"/>
                <w:sz w:val="17"/>
              </w:rPr>
              <w:t>Optically clear film, adhesive film, foil seal as assay-compatible</w:t>
            </w:r>
          </w:p>
        </w:tc>
        <w:tc>
          <w:tcPr>
            <w:tcW w:type="dxa" w:w="2556"/>
            <w:vAlign w:val="center"/>
            <w:tcMar>
              <w:top w:w="90" w:type="dxa"/>
              <w:start w:w="90" w:type="dxa"/>
              <w:bottom w:w="90" w:type="dxa"/>
              <w:end w:w="90" w:type="dxa"/>
            </w:tcMar>
          </w:tcPr>
          <w:p>
            <w:pPr>
              <w:spacing w:after="40" w:before="40"/>
            </w:pPr>
            <w:r>
              <w:rPr>
                <w:rFonts w:ascii="Aptos" w:hAnsi="Aptos"/>
                <w:sz w:val="17"/>
              </w:rPr>
              <w:t>Biological assay, incubation, readout, or transport</w:t>
            </w:r>
          </w:p>
        </w:tc>
        <w:tc>
          <w:tcPr>
            <w:tcW w:type="dxa" w:w="2556"/>
            <w:vAlign w:val="center"/>
            <w:tcMar>
              <w:top w:w="90" w:type="dxa"/>
              <w:start w:w="90" w:type="dxa"/>
              <w:bottom w:w="90" w:type="dxa"/>
              <w:end w:w="90" w:type="dxa"/>
            </w:tcMar>
          </w:tcPr>
          <w:p>
            <w:pPr>
              <w:spacing w:after="40" w:before="40"/>
            </w:pPr>
            <w:r>
              <w:rPr>
                <w:rFonts w:ascii="Aptos" w:hAnsi="Aptos"/>
                <w:sz w:val="17"/>
              </w:rPr>
              <w:t>Require assay/readout compatibility if optical measurement is planned</w:t>
            </w:r>
          </w:p>
        </w:tc>
      </w:tr>
    </w:tbl>
    <w:p>
      <w:pPr>
        <w:pStyle w:val="Heading1"/>
      </w:pPr>
      <w:r>
        <w:rPr>
          <w:rFonts w:ascii="Aptos Display" w:hAnsi="Aptos Display"/>
          <w:color w:val="1F4E79"/>
          <w:sz w:val="30"/>
        </w:rPr>
        <w:t>13. Heat Sealing and Heat Exposure Requirements</w:t>
      </w:r>
    </w:p>
    <w:p>
      <w:r>
        <w:t>Heat sealing may be appropriate for certain plate and seal combinations, but the app should not assume heat-seal compatibility. Heat exposure should be reviewed for compound stability, solvent volatility, plate material, and assay impact.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HT-001</w:t>
            </w:r>
          </w:p>
        </w:tc>
        <w:tc>
          <w:tcPr>
            <w:tcW w:type="dxa" w:w="2556"/>
            <w:vAlign w:val="center"/>
            <w:tcMar>
              <w:top w:w="90" w:type="dxa"/>
              <w:start w:w="90" w:type="dxa"/>
              <w:bottom w:w="90" w:type="dxa"/>
              <w:end w:w="90" w:type="dxa"/>
            </w:tcMar>
          </w:tcPr>
          <w:p>
            <w:pPr>
              <w:spacing w:after="40" w:before="40"/>
            </w:pPr>
            <w:r>
              <w:rPr>
                <w:rFonts w:ascii="Aptos" w:hAnsi="Aptos"/>
                <w:sz w:val="17"/>
              </w:rPr>
              <w:t>Plate type must be documented as compatible with heat sealing before heat seal is selected.</w:t>
            </w:r>
          </w:p>
        </w:tc>
        <w:tc>
          <w:tcPr>
            <w:tcW w:type="dxa" w:w="2556"/>
            <w:vAlign w:val="center"/>
            <w:tcMar>
              <w:top w:w="90" w:type="dxa"/>
              <w:start w:w="90" w:type="dxa"/>
              <w:bottom w:w="90" w:type="dxa"/>
              <w:end w:w="90" w:type="dxa"/>
            </w:tcMar>
          </w:tcPr>
          <w:p>
            <w:pPr>
              <w:spacing w:after="40" w:before="40"/>
            </w:pPr>
            <w:r>
              <w:rPr>
                <w:rFonts w:ascii="Aptos" w:hAnsi="Aptos"/>
                <w:sz w:val="17"/>
              </w:rPr>
              <w:t>PASS if compatible; BLOCK if incompatible; WARNING if unknown.</w:t>
            </w:r>
          </w:p>
        </w:tc>
        <w:tc>
          <w:tcPr>
            <w:tcW w:type="dxa" w:w="2556"/>
            <w:vAlign w:val="center"/>
            <w:tcMar>
              <w:top w:w="90" w:type="dxa"/>
              <w:start w:w="90" w:type="dxa"/>
              <w:bottom w:w="90" w:type="dxa"/>
              <w:end w:w="90" w:type="dxa"/>
            </w:tcMar>
          </w:tcPr>
          <w:p>
            <w:pPr>
              <w:spacing w:after="40" w:before="40"/>
            </w:pPr>
            <w:r>
              <w:rPr>
                <w:rFonts w:ascii="Aptos" w:hAnsi="Aptos"/>
                <w:sz w:val="17"/>
              </w:rPr>
              <w:t>Plate type, manufacturer or compatibility note</w:t>
            </w:r>
          </w:p>
        </w:tc>
      </w:tr>
      <w:tr>
        <w:tc>
          <w:tcPr>
            <w:tcW w:type="dxa" w:w="2556"/>
            <w:vAlign w:val="center"/>
            <w:tcMar>
              <w:top w:w="90" w:type="dxa"/>
              <w:start w:w="90" w:type="dxa"/>
              <w:bottom w:w="90" w:type="dxa"/>
              <w:end w:w="90" w:type="dxa"/>
            </w:tcMar>
          </w:tcPr>
          <w:p>
            <w:pPr>
              <w:spacing w:after="40" w:before="40"/>
            </w:pPr>
            <w:r>
              <w:rPr>
                <w:rFonts w:ascii="Aptos" w:hAnsi="Aptos"/>
                <w:sz w:val="17"/>
              </w:rPr>
              <w:t>HT-002</w:t>
            </w:r>
          </w:p>
        </w:tc>
        <w:tc>
          <w:tcPr>
            <w:tcW w:type="dxa" w:w="2556"/>
            <w:vAlign w:val="center"/>
            <w:tcMar>
              <w:top w:w="90" w:type="dxa"/>
              <w:start w:w="90" w:type="dxa"/>
              <w:bottom w:w="90" w:type="dxa"/>
              <w:end w:w="90" w:type="dxa"/>
            </w:tcMar>
          </w:tcPr>
          <w:p>
            <w:pPr>
              <w:spacing w:after="40" w:before="40"/>
            </w:pPr>
            <w:r>
              <w:rPr>
                <w:rFonts w:ascii="Aptos" w:hAnsi="Aptos"/>
                <w:sz w:val="17"/>
              </w:rPr>
              <w:t>Seal material must be compatible with the solvent system and heat-seal process.</w:t>
            </w:r>
          </w:p>
        </w:tc>
        <w:tc>
          <w:tcPr>
            <w:tcW w:type="dxa" w:w="2556"/>
            <w:vAlign w:val="center"/>
            <w:tcMar>
              <w:top w:w="90" w:type="dxa"/>
              <w:start w:w="90" w:type="dxa"/>
              <w:bottom w:w="90" w:type="dxa"/>
              <w:end w:w="90" w:type="dxa"/>
            </w:tcMar>
          </w:tcPr>
          <w:p>
            <w:pPr>
              <w:spacing w:after="40" w:before="40"/>
            </w:pPr>
            <w:r>
              <w:rPr>
                <w:rFonts w:ascii="Aptos" w:hAnsi="Aptos"/>
                <w:sz w:val="17"/>
              </w:rPr>
              <w:t>PASS if compatible; WARNING if compatibility unknown.</w:t>
            </w:r>
          </w:p>
        </w:tc>
        <w:tc>
          <w:tcPr>
            <w:tcW w:type="dxa" w:w="2556"/>
            <w:vAlign w:val="center"/>
            <w:tcMar>
              <w:top w:w="90" w:type="dxa"/>
              <w:start w:w="90" w:type="dxa"/>
              <w:bottom w:w="90" w:type="dxa"/>
              <w:end w:w="90" w:type="dxa"/>
            </w:tcMar>
          </w:tcPr>
          <w:p>
            <w:pPr>
              <w:spacing w:after="40" w:before="40"/>
            </w:pPr>
            <w:r>
              <w:rPr>
                <w:rFonts w:ascii="Aptos" w:hAnsi="Aptos"/>
                <w:sz w:val="17"/>
              </w:rPr>
              <w:t>Solvent, seal type, material note</w:t>
            </w:r>
          </w:p>
        </w:tc>
      </w:tr>
      <w:tr>
        <w:tc>
          <w:tcPr>
            <w:tcW w:type="dxa" w:w="2556"/>
            <w:vAlign w:val="center"/>
            <w:tcMar>
              <w:top w:w="90" w:type="dxa"/>
              <w:start w:w="90" w:type="dxa"/>
              <w:bottom w:w="90" w:type="dxa"/>
              <w:end w:w="90" w:type="dxa"/>
            </w:tcMar>
          </w:tcPr>
          <w:p>
            <w:pPr>
              <w:spacing w:after="40" w:before="40"/>
            </w:pPr>
            <w:r>
              <w:rPr>
                <w:rFonts w:ascii="Aptos" w:hAnsi="Aptos"/>
                <w:sz w:val="17"/>
              </w:rPr>
              <w:t>HT-003</w:t>
            </w:r>
          </w:p>
        </w:tc>
        <w:tc>
          <w:tcPr>
            <w:tcW w:type="dxa" w:w="2556"/>
            <w:vAlign w:val="center"/>
            <w:tcMar>
              <w:top w:w="90" w:type="dxa"/>
              <w:start w:w="90" w:type="dxa"/>
              <w:bottom w:w="90" w:type="dxa"/>
              <w:end w:w="90" w:type="dxa"/>
            </w:tcMar>
          </w:tcPr>
          <w:p>
            <w:pPr>
              <w:spacing w:after="40" w:before="40"/>
            </w:pPr>
            <w:r>
              <w:rPr>
                <w:rFonts w:ascii="Aptos" w:hAnsi="Aptos"/>
                <w:sz w:val="17"/>
              </w:rPr>
              <w:t>Compound-only source or intermediate plates should not be heat-treated for stability purposes unless documented stability evidence exists.</w:t>
            </w:r>
          </w:p>
        </w:tc>
        <w:tc>
          <w:tcPr>
            <w:tcW w:type="dxa" w:w="2556"/>
            <w:vAlign w:val="center"/>
            <w:tcMar>
              <w:top w:w="90" w:type="dxa"/>
              <w:start w:w="90" w:type="dxa"/>
              <w:bottom w:w="90" w:type="dxa"/>
              <w:end w:w="90" w:type="dxa"/>
            </w:tcMar>
          </w:tcPr>
          <w:p>
            <w:pPr>
              <w:spacing w:after="40" w:before="40"/>
            </w:pPr>
            <w:r>
              <w:rPr>
                <w:rFonts w:ascii="Aptos" w:hAnsi="Aptos"/>
                <w:sz w:val="17"/>
              </w:rPr>
              <w:t>WARNING or BLOCK when heat treatment is requested without stability support.</w:t>
            </w:r>
          </w:p>
        </w:tc>
        <w:tc>
          <w:tcPr>
            <w:tcW w:type="dxa" w:w="2556"/>
            <w:vAlign w:val="center"/>
            <w:tcMar>
              <w:top w:w="90" w:type="dxa"/>
              <w:start w:w="90" w:type="dxa"/>
              <w:bottom w:w="90" w:type="dxa"/>
              <w:end w:w="90" w:type="dxa"/>
            </w:tcMar>
          </w:tcPr>
          <w:p>
            <w:pPr>
              <w:spacing w:after="40" w:before="40"/>
            </w:pPr>
            <w:r>
              <w:rPr>
                <w:rFonts w:ascii="Aptos" w:hAnsi="Aptos"/>
                <w:sz w:val="17"/>
              </w:rPr>
              <w:t>Treatment request, stability evidence</w:t>
            </w:r>
          </w:p>
        </w:tc>
      </w:tr>
      <w:tr>
        <w:tc>
          <w:tcPr>
            <w:tcW w:type="dxa" w:w="2556"/>
            <w:vAlign w:val="center"/>
            <w:tcMar>
              <w:top w:w="90" w:type="dxa"/>
              <w:start w:w="90" w:type="dxa"/>
              <w:bottom w:w="90" w:type="dxa"/>
              <w:end w:w="90" w:type="dxa"/>
            </w:tcMar>
          </w:tcPr>
          <w:p>
            <w:pPr>
              <w:spacing w:after="40" w:before="40"/>
            </w:pPr>
            <w:r>
              <w:rPr>
                <w:rFonts w:ascii="Aptos" w:hAnsi="Aptos"/>
                <w:sz w:val="17"/>
              </w:rPr>
              <w:t>HT-004</w:t>
            </w:r>
          </w:p>
        </w:tc>
        <w:tc>
          <w:tcPr>
            <w:tcW w:type="dxa" w:w="2556"/>
            <w:vAlign w:val="center"/>
            <w:tcMar>
              <w:top w:w="90" w:type="dxa"/>
              <w:start w:w="90" w:type="dxa"/>
              <w:bottom w:w="90" w:type="dxa"/>
              <w:end w:w="90" w:type="dxa"/>
            </w:tcMar>
          </w:tcPr>
          <w:p>
            <w:pPr>
              <w:spacing w:after="40" w:before="40"/>
            </w:pPr>
            <w:r>
              <w:rPr>
                <w:rFonts w:ascii="Aptos" w:hAnsi="Aptos"/>
                <w:sz w:val="17"/>
              </w:rPr>
              <w:t>Assay plates may only be incubated or heat-exposed according to assay-defined conditions.</w:t>
            </w:r>
          </w:p>
        </w:tc>
        <w:tc>
          <w:tcPr>
            <w:tcW w:type="dxa" w:w="2556"/>
            <w:vAlign w:val="center"/>
            <w:tcMar>
              <w:top w:w="90" w:type="dxa"/>
              <w:start w:w="90" w:type="dxa"/>
              <w:bottom w:w="90" w:type="dxa"/>
              <w:end w:w="90" w:type="dxa"/>
            </w:tcMar>
          </w:tcPr>
          <w:p>
            <w:pPr>
              <w:spacing w:after="40" w:before="40"/>
            </w:pPr>
            <w:r>
              <w:rPr>
                <w:rFonts w:ascii="Aptos" w:hAnsi="Aptos"/>
                <w:sz w:val="17"/>
              </w:rPr>
              <w:t>PASS when assay temperature and duration are documented; WARNING if incomplete.</w:t>
            </w:r>
          </w:p>
        </w:tc>
        <w:tc>
          <w:tcPr>
            <w:tcW w:type="dxa" w:w="2556"/>
            <w:vAlign w:val="center"/>
            <w:tcMar>
              <w:top w:w="90" w:type="dxa"/>
              <w:start w:w="90" w:type="dxa"/>
              <w:bottom w:w="90" w:type="dxa"/>
              <w:end w:w="90" w:type="dxa"/>
            </w:tcMar>
          </w:tcPr>
          <w:p>
            <w:pPr>
              <w:spacing w:after="40" w:before="40"/>
            </w:pPr>
            <w:r>
              <w:rPr>
                <w:rFonts w:ascii="Aptos" w:hAnsi="Aptos"/>
                <w:sz w:val="17"/>
              </w:rPr>
              <w:t>Temperature, duration, assay type</w:t>
            </w:r>
          </w:p>
        </w:tc>
      </w:tr>
      <w:tr>
        <w:tc>
          <w:tcPr>
            <w:tcW w:type="dxa" w:w="2556"/>
            <w:vAlign w:val="center"/>
            <w:tcMar>
              <w:top w:w="90" w:type="dxa"/>
              <w:start w:w="90" w:type="dxa"/>
              <w:bottom w:w="90" w:type="dxa"/>
              <w:end w:w="90" w:type="dxa"/>
            </w:tcMar>
          </w:tcPr>
          <w:p>
            <w:pPr>
              <w:spacing w:after="40" w:before="40"/>
            </w:pPr>
            <w:r>
              <w:rPr>
                <w:rFonts w:ascii="Aptos" w:hAnsi="Aptos"/>
                <w:sz w:val="17"/>
              </w:rPr>
              <w:t>HT-005</w:t>
            </w:r>
          </w:p>
        </w:tc>
        <w:tc>
          <w:tcPr>
            <w:tcW w:type="dxa" w:w="2556"/>
            <w:vAlign w:val="center"/>
            <w:tcMar>
              <w:top w:w="90" w:type="dxa"/>
              <w:start w:w="90" w:type="dxa"/>
              <w:bottom w:w="90" w:type="dxa"/>
              <w:end w:w="90" w:type="dxa"/>
            </w:tcMar>
          </w:tcPr>
          <w:p>
            <w:pPr>
              <w:spacing w:after="40" w:before="40"/>
            </w:pPr>
            <w:r>
              <w:rPr>
                <w:rFonts w:ascii="Aptos" w:hAnsi="Aptos"/>
                <w:sz w:val="17"/>
              </w:rPr>
              <w:t>Any plate deformation, condensation, evaporation, or seal distortion after heat exposure requires review.</w:t>
            </w:r>
          </w:p>
        </w:tc>
        <w:tc>
          <w:tcPr>
            <w:tcW w:type="dxa" w:w="2556"/>
            <w:vAlign w:val="center"/>
            <w:tcMar>
              <w:top w:w="90" w:type="dxa"/>
              <w:start w:w="90" w:type="dxa"/>
              <w:bottom w:w="90" w:type="dxa"/>
              <w:end w:w="90" w:type="dxa"/>
            </w:tcMar>
          </w:tcPr>
          <w:p>
            <w:pPr>
              <w:spacing w:after="40" w:before="40"/>
            </w:pPr>
            <w:r>
              <w:rPr>
                <w:rFonts w:ascii="Aptos" w:hAnsi="Aptos"/>
                <w:sz w:val="17"/>
              </w:rPr>
              <w:t>BLOCK if sample integrity is compromised.</w:t>
            </w:r>
          </w:p>
        </w:tc>
        <w:tc>
          <w:tcPr>
            <w:tcW w:type="dxa" w:w="2556"/>
            <w:vAlign w:val="center"/>
            <w:tcMar>
              <w:top w:w="90" w:type="dxa"/>
              <w:start w:w="90" w:type="dxa"/>
              <w:bottom w:w="90" w:type="dxa"/>
              <w:end w:w="90" w:type="dxa"/>
            </w:tcMar>
          </w:tcPr>
          <w:p>
            <w:pPr>
              <w:spacing w:after="40" w:before="40"/>
            </w:pPr>
            <w:r>
              <w:rPr>
                <w:rFonts w:ascii="Aptos" w:hAnsi="Aptos"/>
                <w:sz w:val="17"/>
              </w:rPr>
              <w:t>Post-seal or post-incubation inspection</w:t>
            </w:r>
          </w:p>
        </w:tc>
      </w:tr>
    </w:tbl>
    <w:p/>
    <w:tbl>
      <w:tblPr>
        <w:tblW w:type="auto" w:w="0"/>
        <w:jc w:val="center"/>
        <w:tblLook w:firstColumn="1" w:firstRow="1" w:lastColumn="0" w:lastRow="0" w:noHBand="0" w:noVBand="1" w:val="04A0"/>
      </w:tblPr>
      <w:tblGrid>
        <w:gridCol w:w="10224"/>
      </w:tblGrid>
      <w:tr>
        <w:tc>
          <w:tcPr>
            <w:tcW w:type="dxa" w:w="10224"/>
            <w:shd w:fill="FFF2CC"/>
            <w:tcMar>
              <w:top w:w="140" w:type="dxa"/>
              <w:start w:w="180" w:type="dxa"/>
              <w:bottom w:w="140" w:type="dxa"/>
              <w:end w:w="180" w:type="dxa"/>
            </w:tcMar>
          </w:tcPr>
          <w:p>
            <w:r>
              <w:rPr>
                <w:b/>
                <w:color w:val="7F6000"/>
                <w:sz w:val="20"/>
              </w:rPr>
              <w:t>Important Implementation Note</w:t>
            </w:r>
          </w:p>
          <w:p>
            <w:pPr>
              <w:spacing w:before="80" w:after="0"/>
            </w:pPr>
            <w:r>
              <w:rPr>
                <w:sz w:val="18"/>
              </w:rPr>
              <w:t>The CompoundOps Assistant should ask for plate type, seal type, and intended storage or incubation condition before allowing heat sealing, incubation, or heat exposure to be marked as PASS. If these values are missing, the app should return WARNING or INSUFFICIENT INFORMATION rather than assuming compatibility.</w:t>
            </w:r>
          </w:p>
        </w:tc>
      </w:tr>
    </w:tbl>
    <w:p/>
    <w:p>
      <w:pPr>
        <w:pStyle w:val="Heading1"/>
      </w:pPr>
      <w:r>
        <w:rPr>
          <w:rFonts w:ascii="Aptos Display" w:hAnsi="Aptos Display"/>
          <w:color w:val="1F4E79"/>
          <w:sz w:val="30"/>
        </w:rPr>
        <w:t>14. Plate Storage Requirements</w:t>
      </w:r>
    </w:p>
    <w:p>
      <w:r>
        <w:t>Plate storage conditions should be selected based on solvent, compound stability, plate type, and whether the plate is a long-term source plate, short-term intermediate plate, or assay-ready plate.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STP-001</w:t>
            </w:r>
          </w:p>
        </w:tc>
        <w:tc>
          <w:tcPr>
            <w:tcW w:type="dxa" w:w="2556"/>
            <w:vAlign w:val="center"/>
            <w:tcMar>
              <w:top w:w="90" w:type="dxa"/>
              <w:start w:w="90" w:type="dxa"/>
              <w:bottom w:w="90" w:type="dxa"/>
              <w:end w:w="90" w:type="dxa"/>
            </w:tcMar>
          </w:tcPr>
          <w:p>
            <w:pPr>
              <w:spacing w:after="40" w:before="40"/>
            </w:pPr>
            <w:r>
              <w:rPr>
                <w:rFonts w:ascii="Aptos" w:hAnsi="Aptos"/>
                <w:sz w:val="17"/>
              </w:rPr>
              <w:t>DMSO source plates should generally be stored frozen unless compound-specific guidance states otherwise.</w:t>
            </w:r>
          </w:p>
        </w:tc>
        <w:tc>
          <w:tcPr>
            <w:tcW w:type="dxa" w:w="2556"/>
            <w:vAlign w:val="center"/>
            <w:tcMar>
              <w:top w:w="90" w:type="dxa"/>
              <w:start w:w="90" w:type="dxa"/>
              <w:bottom w:w="90" w:type="dxa"/>
              <w:end w:w="90" w:type="dxa"/>
            </w:tcMar>
          </w:tcPr>
          <w:p>
            <w:pPr>
              <w:spacing w:after="40" w:before="40"/>
            </w:pPr>
            <w:r>
              <w:rPr>
                <w:rFonts w:ascii="Aptos" w:hAnsi="Aptos"/>
                <w:sz w:val="17"/>
              </w:rPr>
              <w:t>PASS when frozen storage is documented; WARNING for non-frozen storage without justification.</w:t>
            </w:r>
          </w:p>
        </w:tc>
        <w:tc>
          <w:tcPr>
            <w:tcW w:type="dxa" w:w="2556"/>
            <w:vAlign w:val="center"/>
            <w:tcMar>
              <w:top w:w="90" w:type="dxa"/>
              <w:start w:w="90" w:type="dxa"/>
              <w:bottom w:w="90" w:type="dxa"/>
              <w:end w:w="90" w:type="dxa"/>
            </w:tcMar>
          </w:tcPr>
          <w:p>
            <w:pPr>
              <w:spacing w:after="40" w:before="40"/>
            </w:pPr>
            <w:r>
              <w:rPr>
                <w:rFonts w:ascii="Aptos" w:hAnsi="Aptos"/>
                <w:sz w:val="17"/>
              </w:rPr>
              <w:t>Solvent, storage temperature, exception note</w:t>
            </w:r>
          </w:p>
        </w:tc>
      </w:tr>
      <w:tr>
        <w:tc>
          <w:tcPr>
            <w:tcW w:type="dxa" w:w="2556"/>
            <w:vAlign w:val="center"/>
            <w:tcMar>
              <w:top w:w="90" w:type="dxa"/>
              <w:start w:w="90" w:type="dxa"/>
              <w:bottom w:w="90" w:type="dxa"/>
              <w:end w:w="90" w:type="dxa"/>
            </w:tcMar>
          </w:tcPr>
          <w:p>
            <w:pPr>
              <w:spacing w:after="40" w:before="40"/>
            </w:pPr>
            <w:r>
              <w:rPr>
                <w:rFonts w:ascii="Aptos" w:hAnsi="Aptos"/>
                <w:sz w:val="17"/>
              </w:rPr>
              <w:t>STP-002</w:t>
            </w:r>
          </w:p>
        </w:tc>
        <w:tc>
          <w:tcPr>
            <w:tcW w:type="dxa" w:w="2556"/>
            <w:vAlign w:val="center"/>
            <w:tcMar>
              <w:top w:w="90" w:type="dxa"/>
              <w:start w:w="90" w:type="dxa"/>
              <w:bottom w:w="90" w:type="dxa"/>
              <w:end w:w="90" w:type="dxa"/>
            </w:tcMar>
          </w:tcPr>
          <w:p>
            <w:pPr>
              <w:spacing w:after="40" w:before="40"/>
            </w:pPr>
            <w:r>
              <w:rPr>
                <w:rFonts w:ascii="Aptos" w:hAnsi="Aptos"/>
                <w:sz w:val="17"/>
              </w:rPr>
              <w:t>Aqueous, PBS, and buffer plates should be stored under documented cold or assay-defined conditions.</w:t>
            </w:r>
          </w:p>
        </w:tc>
        <w:tc>
          <w:tcPr>
            <w:tcW w:type="dxa" w:w="2556"/>
            <w:vAlign w:val="center"/>
            <w:tcMar>
              <w:top w:w="90" w:type="dxa"/>
              <w:start w:w="90" w:type="dxa"/>
              <w:bottom w:w="90" w:type="dxa"/>
              <w:end w:w="90" w:type="dxa"/>
            </w:tcMar>
          </w:tcPr>
          <w:p>
            <w:pPr>
              <w:spacing w:after="40" w:before="40"/>
            </w:pPr>
            <w:r>
              <w:rPr>
                <w:rFonts w:ascii="Aptos" w:hAnsi="Aptos"/>
                <w:sz w:val="17"/>
              </w:rPr>
              <w:t>PASS when storage condition is documented; WARNING if unspecified.</w:t>
            </w:r>
          </w:p>
        </w:tc>
        <w:tc>
          <w:tcPr>
            <w:tcW w:type="dxa" w:w="2556"/>
            <w:vAlign w:val="center"/>
            <w:tcMar>
              <w:top w:w="90" w:type="dxa"/>
              <w:start w:w="90" w:type="dxa"/>
              <w:bottom w:w="90" w:type="dxa"/>
              <w:end w:w="90" w:type="dxa"/>
            </w:tcMar>
          </w:tcPr>
          <w:p>
            <w:pPr>
              <w:spacing w:after="40" w:before="40"/>
            </w:pPr>
            <w:r>
              <w:rPr>
                <w:rFonts w:ascii="Aptos" w:hAnsi="Aptos"/>
                <w:sz w:val="17"/>
              </w:rPr>
              <w:t>Solvent, storage temperature</w:t>
            </w:r>
          </w:p>
        </w:tc>
      </w:tr>
      <w:tr>
        <w:tc>
          <w:tcPr>
            <w:tcW w:type="dxa" w:w="2556"/>
            <w:vAlign w:val="center"/>
            <w:tcMar>
              <w:top w:w="90" w:type="dxa"/>
              <w:start w:w="90" w:type="dxa"/>
              <w:bottom w:w="90" w:type="dxa"/>
              <w:end w:w="90" w:type="dxa"/>
            </w:tcMar>
          </w:tcPr>
          <w:p>
            <w:pPr>
              <w:spacing w:after="40" w:before="40"/>
            </w:pPr>
            <w:r>
              <w:rPr>
                <w:rFonts w:ascii="Aptos" w:hAnsi="Aptos"/>
                <w:sz w:val="17"/>
              </w:rPr>
              <w:t>STP-003</w:t>
            </w:r>
          </w:p>
        </w:tc>
        <w:tc>
          <w:tcPr>
            <w:tcW w:type="dxa" w:w="2556"/>
            <w:vAlign w:val="center"/>
            <w:tcMar>
              <w:top w:w="90" w:type="dxa"/>
              <w:start w:w="90" w:type="dxa"/>
              <w:bottom w:w="90" w:type="dxa"/>
              <w:end w:w="90" w:type="dxa"/>
            </w:tcMar>
          </w:tcPr>
          <w:p>
            <w:pPr>
              <w:spacing w:after="40" w:before="40"/>
            </w:pPr>
            <w:r>
              <w:rPr>
                <w:rFonts w:ascii="Aptos" w:hAnsi="Aptos"/>
                <w:sz w:val="17"/>
              </w:rPr>
              <w:t>Intermediate plates should be used within validated or documented hold-time limits.</w:t>
            </w:r>
          </w:p>
        </w:tc>
        <w:tc>
          <w:tcPr>
            <w:tcW w:type="dxa" w:w="2556"/>
            <w:vAlign w:val="center"/>
            <w:tcMar>
              <w:top w:w="90" w:type="dxa"/>
              <w:start w:w="90" w:type="dxa"/>
              <w:bottom w:w="90" w:type="dxa"/>
              <w:end w:w="90" w:type="dxa"/>
            </w:tcMar>
          </w:tcPr>
          <w:p>
            <w:pPr>
              <w:spacing w:after="40" w:before="40"/>
            </w:pPr>
            <w:r>
              <w:rPr>
                <w:rFonts w:ascii="Aptos" w:hAnsi="Aptos"/>
                <w:sz w:val="17"/>
              </w:rPr>
              <w:t>WARNING if hold time is missing or exceeds allowed window.</w:t>
            </w:r>
          </w:p>
        </w:tc>
        <w:tc>
          <w:tcPr>
            <w:tcW w:type="dxa" w:w="2556"/>
            <w:vAlign w:val="center"/>
            <w:tcMar>
              <w:top w:w="90" w:type="dxa"/>
              <w:start w:w="90" w:type="dxa"/>
              <w:bottom w:w="90" w:type="dxa"/>
              <w:end w:w="90" w:type="dxa"/>
            </w:tcMar>
          </w:tcPr>
          <w:p>
            <w:pPr>
              <w:spacing w:after="40" w:before="40"/>
            </w:pPr>
            <w:r>
              <w:rPr>
                <w:rFonts w:ascii="Aptos" w:hAnsi="Aptos"/>
                <w:sz w:val="17"/>
              </w:rPr>
              <w:t>Preparation time, planned use time</w:t>
            </w:r>
          </w:p>
        </w:tc>
      </w:tr>
      <w:tr>
        <w:tc>
          <w:tcPr>
            <w:tcW w:type="dxa" w:w="2556"/>
            <w:vAlign w:val="center"/>
            <w:tcMar>
              <w:top w:w="90" w:type="dxa"/>
              <w:start w:w="90" w:type="dxa"/>
              <w:bottom w:w="90" w:type="dxa"/>
              <w:end w:w="90" w:type="dxa"/>
            </w:tcMar>
          </w:tcPr>
          <w:p>
            <w:pPr>
              <w:spacing w:after="40" w:before="40"/>
            </w:pPr>
            <w:r>
              <w:rPr>
                <w:rFonts w:ascii="Aptos" w:hAnsi="Aptos"/>
                <w:sz w:val="17"/>
              </w:rPr>
              <w:t>STP-004</w:t>
            </w:r>
          </w:p>
        </w:tc>
        <w:tc>
          <w:tcPr>
            <w:tcW w:type="dxa" w:w="2556"/>
            <w:vAlign w:val="center"/>
            <w:tcMar>
              <w:top w:w="90" w:type="dxa"/>
              <w:start w:w="90" w:type="dxa"/>
              <w:bottom w:w="90" w:type="dxa"/>
              <w:end w:w="90" w:type="dxa"/>
            </w:tcMar>
          </w:tcPr>
          <w:p>
            <w:pPr>
              <w:spacing w:after="40" w:before="40"/>
            </w:pPr>
            <w:r>
              <w:rPr>
                <w:rFonts w:ascii="Aptos" w:hAnsi="Aptos"/>
                <w:sz w:val="17"/>
              </w:rPr>
              <w:t>Assay-ready plates should follow assay-specific storage or incubation instructions.</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storage/incubation condition is missing.</w:t>
            </w:r>
          </w:p>
        </w:tc>
        <w:tc>
          <w:tcPr>
            <w:tcW w:type="dxa" w:w="2556"/>
            <w:vAlign w:val="center"/>
            <w:tcMar>
              <w:top w:w="90" w:type="dxa"/>
              <w:start w:w="90" w:type="dxa"/>
              <w:bottom w:w="90" w:type="dxa"/>
              <w:end w:w="90" w:type="dxa"/>
            </w:tcMar>
          </w:tcPr>
          <w:p>
            <w:pPr>
              <w:spacing w:after="40" w:before="40"/>
            </w:pPr>
            <w:r>
              <w:rPr>
                <w:rFonts w:ascii="Aptos" w:hAnsi="Aptos"/>
                <w:sz w:val="17"/>
              </w:rPr>
              <w:t>Assay protocol, temperature, duration</w:t>
            </w:r>
          </w:p>
        </w:tc>
      </w:tr>
      <w:tr>
        <w:tc>
          <w:tcPr>
            <w:tcW w:type="dxa" w:w="2556"/>
            <w:vAlign w:val="center"/>
            <w:tcMar>
              <w:top w:w="90" w:type="dxa"/>
              <w:start w:w="90" w:type="dxa"/>
              <w:bottom w:w="90" w:type="dxa"/>
              <w:end w:w="90" w:type="dxa"/>
            </w:tcMar>
          </w:tcPr>
          <w:p>
            <w:pPr>
              <w:spacing w:after="40" w:before="40"/>
            </w:pPr>
            <w:r>
              <w:rPr>
                <w:rFonts w:ascii="Aptos" w:hAnsi="Aptos"/>
                <w:sz w:val="17"/>
              </w:rPr>
              <w:t>STP-005</w:t>
            </w:r>
          </w:p>
        </w:tc>
        <w:tc>
          <w:tcPr>
            <w:tcW w:type="dxa" w:w="2556"/>
            <w:vAlign w:val="center"/>
            <w:tcMar>
              <w:top w:w="90" w:type="dxa"/>
              <w:start w:w="90" w:type="dxa"/>
              <w:bottom w:w="90" w:type="dxa"/>
              <w:end w:w="90" w:type="dxa"/>
            </w:tcMar>
          </w:tcPr>
          <w:p>
            <w:pPr>
              <w:spacing w:after="40" w:before="40"/>
            </w:pPr>
            <w:r>
              <w:rPr>
                <w:rFonts w:ascii="Aptos" w:hAnsi="Aptos"/>
                <w:sz w:val="17"/>
              </w:rPr>
              <w:t>Frozen storage or thawing events must be considered in freeze-thaw tracking.</w:t>
            </w:r>
          </w:p>
        </w:tc>
        <w:tc>
          <w:tcPr>
            <w:tcW w:type="dxa" w:w="2556"/>
            <w:vAlign w:val="center"/>
            <w:tcMar>
              <w:top w:w="90" w:type="dxa"/>
              <w:start w:w="90" w:type="dxa"/>
              <w:bottom w:w="90" w:type="dxa"/>
              <w:end w:w="90" w:type="dxa"/>
            </w:tcMar>
          </w:tcPr>
          <w:p>
            <w:pPr>
              <w:spacing w:after="40" w:before="40"/>
            </w:pPr>
            <w:r>
              <w:rPr>
                <w:rFonts w:ascii="Aptos" w:hAnsi="Aptos"/>
                <w:sz w:val="17"/>
              </w:rPr>
              <w:t>UPDATE or FLAG when freeze-thaw event occurs.</w:t>
            </w:r>
          </w:p>
        </w:tc>
        <w:tc>
          <w:tcPr>
            <w:tcW w:type="dxa" w:w="2556"/>
            <w:vAlign w:val="center"/>
            <w:tcMar>
              <w:top w:w="90" w:type="dxa"/>
              <w:start w:w="90" w:type="dxa"/>
              <w:bottom w:w="90" w:type="dxa"/>
              <w:end w:w="90" w:type="dxa"/>
            </w:tcMar>
          </w:tcPr>
          <w:p>
            <w:pPr>
              <w:spacing w:after="40" w:before="40"/>
            </w:pPr>
            <w:r>
              <w:rPr>
                <w:rFonts w:ascii="Aptos" w:hAnsi="Aptos"/>
                <w:sz w:val="17"/>
              </w:rPr>
              <w:t>Previous count, new count, plate or container ID</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Plate Type</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Typical Storage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Risk to Review</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Assistant Recommendation</w:t>
            </w:r>
          </w:p>
        </w:tc>
      </w:tr>
      <w:tr>
        <w:tc>
          <w:tcPr>
            <w:tcW w:type="dxa" w:w="2556"/>
            <w:vAlign w:val="center"/>
            <w:tcMar>
              <w:top w:w="90" w:type="dxa"/>
              <w:start w:w="90" w:type="dxa"/>
              <w:bottom w:w="90" w:type="dxa"/>
              <w:end w:w="90" w:type="dxa"/>
            </w:tcMar>
          </w:tcPr>
          <w:p>
            <w:pPr>
              <w:spacing w:after="40" w:before="40"/>
            </w:pPr>
            <w:r>
              <w:rPr>
                <w:rFonts w:ascii="Aptos" w:hAnsi="Aptos"/>
                <w:sz w:val="17"/>
              </w:rPr>
              <w:t>Source Plate</w:t>
            </w:r>
          </w:p>
        </w:tc>
        <w:tc>
          <w:tcPr>
            <w:tcW w:type="dxa" w:w="2556"/>
            <w:vAlign w:val="center"/>
            <w:tcMar>
              <w:top w:w="90" w:type="dxa"/>
              <w:start w:w="90" w:type="dxa"/>
              <w:bottom w:w="90" w:type="dxa"/>
              <w:end w:w="90" w:type="dxa"/>
            </w:tcMar>
          </w:tcPr>
          <w:p>
            <w:pPr>
              <w:spacing w:after="40" w:before="40"/>
            </w:pPr>
            <w:r>
              <w:rPr>
                <w:rFonts w:ascii="Aptos" w:hAnsi="Aptos"/>
                <w:sz w:val="17"/>
              </w:rPr>
              <w:t>Frozen or source-condition storage based on solvent and inventory guidance</w:t>
            </w:r>
          </w:p>
        </w:tc>
        <w:tc>
          <w:tcPr>
            <w:tcW w:type="dxa" w:w="2556"/>
            <w:vAlign w:val="center"/>
            <w:tcMar>
              <w:top w:w="90" w:type="dxa"/>
              <w:start w:w="90" w:type="dxa"/>
              <w:bottom w:w="90" w:type="dxa"/>
              <w:end w:w="90" w:type="dxa"/>
            </w:tcMar>
          </w:tcPr>
          <w:p>
            <w:pPr>
              <w:spacing w:after="40" w:before="40"/>
            </w:pPr>
            <w:r>
              <w:rPr>
                <w:rFonts w:ascii="Aptos" w:hAnsi="Aptos"/>
                <w:sz w:val="17"/>
              </w:rPr>
              <w:t>Freeze-thaw impact, evaporation, seal integrity</w:t>
            </w:r>
          </w:p>
        </w:tc>
        <w:tc>
          <w:tcPr>
            <w:tcW w:type="dxa" w:w="2556"/>
            <w:vAlign w:val="center"/>
            <w:tcMar>
              <w:top w:w="90" w:type="dxa"/>
              <w:start w:w="90" w:type="dxa"/>
              <w:bottom w:w="90" w:type="dxa"/>
              <w:end w:w="90" w:type="dxa"/>
            </w:tcMar>
          </w:tcPr>
          <w:p>
            <w:pPr>
              <w:spacing w:after="40" w:before="40"/>
            </w:pPr>
            <w:r>
              <w:rPr>
                <w:rFonts w:ascii="Aptos" w:hAnsi="Aptos"/>
                <w:sz w:val="17"/>
              </w:rPr>
              <w:t>Track storage condition, seal, location, and freeze-thaw event</w:t>
            </w:r>
          </w:p>
        </w:tc>
      </w:tr>
      <w:tr>
        <w:tc>
          <w:tcPr>
            <w:tcW w:type="dxa" w:w="2556"/>
            <w:vAlign w:val="center"/>
            <w:tcMar>
              <w:top w:w="90" w:type="dxa"/>
              <w:start w:w="90" w:type="dxa"/>
              <w:bottom w:w="90" w:type="dxa"/>
              <w:end w:w="90" w:type="dxa"/>
            </w:tcMar>
          </w:tcPr>
          <w:p>
            <w:pPr>
              <w:spacing w:after="40" w:before="40"/>
            </w:pPr>
            <w:r>
              <w:rPr>
                <w:rFonts w:ascii="Aptos" w:hAnsi="Aptos"/>
                <w:sz w:val="17"/>
              </w:rPr>
              <w:t>Intermediate Plate</w:t>
            </w:r>
          </w:p>
        </w:tc>
        <w:tc>
          <w:tcPr>
            <w:tcW w:type="dxa" w:w="2556"/>
            <w:vAlign w:val="center"/>
            <w:tcMar>
              <w:top w:w="90" w:type="dxa"/>
              <w:start w:w="90" w:type="dxa"/>
              <w:bottom w:w="90" w:type="dxa"/>
              <w:end w:w="90" w:type="dxa"/>
            </w:tcMar>
          </w:tcPr>
          <w:p>
            <w:pPr>
              <w:spacing w:after="40" w:before="40"/>
            </w:pPr>
            <w:r>
              <w:rPr>
                <w:rFonts w:ascii="Aptos" w:hAnsi="Aptos"/>
                <w:sz w:val="17"/>
              </w:rPr>
              <w:t>Short-term controlled storage based on solvent and dilution stability</w:t>
            </w:r>
          </w:p>
        </w:tc>
        <w:tc>
          <w:tcPr>
            <w:tcW w:type="dxa" w:w="2556"/>
            <w:vAlign w:val="center"/>
            <w:tcMar>
              <w:top w:w="90" w:type="dxa"/>
              <w:start w:w="90" w:type="dxa"/>
              <w:bottom w:w="90" w:type="dxa"/>
              <w:end w:w="90" w:type="dxa"/>
            </w:tcMar>
          </w:tcPr>
          <w:p>
            <w:pPr>
              <w:spacing w:after="40" w:before="40"/>
            </w:pPr>
            <w:r>
              <w:rPr>
                <w:rFonts w:ascii="Aptos" w:hAnsi="Aptos"/>
                <w:sz w:val="17"/>
              </w:rPr>
              <w:t>Evaporation, concentration drift, microbial/precipitation risk for aqueous systems</w:t>
            </w:r>
          </w:p>
        </w:tc>
        <w:tc>
          <w:tcPr>
            <w:tcW w:type="dxa" w:w="2556"/>
            <w:vAlign w:val="center"/>
            <w:tcMar>
              <w:top w:w="90" w:type="dxa"/>
              <w:start w:w="90" w:type="dxa"/>
              <w:bottom w:w="90" w:type="dxa"/>
              <w:end w:w="90" w:type="dxa"/>
            </w:tcMar>
          </w:tcPr>
          <w:p>
            <w:pPr>
              <w:spacing w:after="40" w:before="40"/>
            </w:pPr>
            <w:r>
              <w:rPr>
                <w:rFonts w:ascii="Aptos" w:hAnsi="Aptos"/>
                <w:sz w:val="17"/>
              </w:rPr>
              <w:t>Recommend use within documented hold time</w:t>
            </w:r>
          </w:p>
        </w:tc>
      </w:tr>
      <w:tr>
        <w:tc>
          <w:tcPr>
            <w:tcW w:type="dxa" w:w="2556"/>
            <w:vAlign w:val="center"/>
            <w:tcMar>
              <w:top w:w="90" w:type="dxa"/>
              <w:start w:w="90" w:type="dxa"/>
              <w:bottom w:w="90" w:type="dxa"/>
              <w:end w:w="90" w:type="dxa"/>
            </w:tcMar>
          </w:tcPr>
          <w:p>
            <w:pPr>
              <w:spacing w:after="40" w:before="40"/>
            </w:pPr>
            <w:r>
              <w:rPr>
                <w:rFonts w:ascii="Aptos" w:hAnsi="Aptos"/>
                <w:sz w:val="17"/>
              </w:rPr>
              <w:t>Assay-Ready Plate</w:t>
            </w:r>
          </w:p>
        </w:tc>
        <w:tc>
          <w:tcPr>
            <w:tcW w:type="dxa" w:w="2556"/>
            <w:vAlign w:val="center"/>
            <w:tcMar>
              <w:top w:w="90" w:type="dxa"/>
              <w:start w:w="90" w:type="dxa"/>
              <w:bottom w:w="90" w:type="dxa"/>
              <w:end w:w="90" w:type="dxa"/>
            </w:tcMar>
          </w:tcPr>
          <w:p>
            <w:pPr>
              <w:spacing w:after="40" w:before="40"/>
            </w:pPr>
            <w:r>
              <w:rPr>
                <w:rFonts w:ascii="Aptos" w:hAnsi="Aptos"/>
                <w:sz w:val="17"/>
              </w:rPr>
              <w:t>Assay-specific storage or incubation condition</w:t>
            </w:r>
          </w:p>
        </w:tc>
        <w:tc>
          <w:tcPr>
            <w:tcW w:type="dxa" w:w="2556"/>
            <w:vAlign w:val="center"/>
            <w:tcMar>
              <w:top w:w="90" w:type="dxa"/>
              <w:start w:w="90" w:type="dxa"/>
              <w:bottom w:w="90" w:type="dxa"/>
              <w:end w:w="90" w:type="dxa"/>
            </w:tcMar>
          </w:tcPr>
          <w:p>
            <w:pPr>
              <w:spacing w:after="40" w:before="40"/>
            </w:pPr>
            <w:r>
              <w:rPr>
                <w:rFonts w:ascii="Aptos" w:hAnsi="Aptos"/>
                <w:sz w:val="17"/>
              </w:rPr>
              <w:t>Cell/biology compatibility, readout interference, edge effects, seal compatibility</w:t>
            </w:r>
          </w:p>
        </w:tc>
        <w:tc>
          <w:tcPr>
            <w:tcW w:type="dxa" w:w="2556"/>
            <w:vAlign w:val="center"/>
            <w:tcMar>
              <w:top w:w="90" w:type="dxa"/>
              <w:start w:w="90" w:type="dxa"/>
              <w:bottom w:w="90" w:type="dxa"/>
              <w:end w:w="90" w:type="dxa"/>
            </w:tcMar>
          </w:tcPr>
          <w:p>
            <w:pPr>
              <w:spacing w:after="40" w:before="40"/>
            </w:pPr>
            <w:r>
              <w:rPr>
                <w:rFonts w:ascii="Aptos" w:hAnsi="Aptos"/>
                <w:sz w:val="17"/>
              </w:rPr>
              <w:t>Require assay temperature, duration, and readout compatibility before PASS</w:t>
            </w:r>
          </w:p>
        </w:tc>
      </w:tr>
    </w:tbl>
    <w:p>
      <w:pPr>
        <w:pStyle w:val="Heading1"/>
      </w:pPr>
      <w:r>
        <w:rPr>
          <w:rFonts w:ascii="Aptos Display" w:hAnsi="Aptos Display"/>
          <w:color w:val="1F4E79"/>
          <w:sz w:val="30"/>
        </w:rPr>
        <w:t>15. Incubation Requirements</w:t>
      </w:r>
    </w:p>
    <w:p>
      <w:r>
        <w:t>Incubation rules differ for compound-only plates and biological assay plates. Compound-only source and intermediate plates should generally not be incubated unless there is a documented purpose and stability justification. Assay-ready plates may be incubated when the assay protocol defines temperature and duration.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INC-001</w:t>
            </w:r>
          </w:p>
        </w:tc>
        <w:tc>
          <w:tcPr>
            <w:tcW w:type="dxa" w:w="2556"/>
            <w:vAlign w:val="center"/>
            <w:tcMar>
              <w:top w:w="90" w:type="dxa"/>
              <w:start w:w="90" w:type="dxa"/>
              <w:bottom w:w="90" w:type="dxa"/>
              <w:end w:w="90" w:type="dxa"/>
            </w:tcMar>
          </w:tcPr>
          <w:p>
            <w:pPr>
              <w:spacing w:after="40" w:before="40"/>
            </w:pPr>
            <w:r>
              <w:rPr>
                <w:rFonts w:ascii="Aptos" w:hAnsi="Aptos"/>
                <w:sz w:val="17"/>
              </w:rPr>
              <w:t>Compound-only source plates are not intended for biological incubation.</w:t>
            </w:r>
          </w:p>
        </w:tc>
        <w:tc>
          <w:tcPr>
            <w:tcW w:type="dxa" w:w="2556"/>
            <w:vAlign w:val="center"/>
            <w:tcMar>
              <w:top w:w="90" w:type="dxa"/>
              <w:start w:w="90" w:type="dxa"/>
              <w:bottom w:w="90" w:type="dxa"/>
              <w:end w:w="90" w:type="dxa"/>
            </w:tcMar>
          </w:tcPr>
          <w:p>
            <w:pPr>
              <w:spacing w:after="40" w:before="40"/>
            </w:pPr>
            <w:r>
              <w:rPr>
                <w:rFonts w:ascii="Aptos" w:hAnsi="Aptos"/>
                <w:sz w:val="17"/>
              </w:rPr>
              <w:t>WARNING when incubation is requested; BLOCK if stability risk is known.</w:t>
            </w:r>
          </w:p>
        </w:tc>
        <w:tc>
          <w:tcPr>
            <w:tcW w:type="dxa" w:w="2556"/>
            <w:vAlign w:val="center"/>
            <w:tcMar>
              <w:top w:w="90" w:type="dxa"/>
              <w:start w:w="90" w:type="dxa"/>
              <w:bottom w:w="90" w:type="dxa"/>
              <w:end w:w="90" w:type="dxa"/>
            </w:tcMar>
          </w:tcPr>
          <w:p>
            <w:pPr>
              <w:spacing w:after="40" w:before="40"/>
            </w:pPr>
            <w:r>
              <w:rPr>
                <w:rFonts w:ascii="Aptos" w:hAnsi="Aptos"/>
                <w:sz w:val="17"/>
              </w:rPr>
              <w:t>Plate type, requested temperature, duration</w:t>
            </w:r>
          </w:p>
        </w:tc>
      </w:tr>
      <w:tr>
        <w:tc>
          <w:tcPr>
            <w:tcW w:type="dxa" w:w="2556"/>
            <w:vAlign w:val="center"/>
            <w:tcMar>
              <w:top w:w="90" w:type="dxa"/>
              <w:start w:w="90" w:type="dxa"/>
              <w:bottom w:w="90" w:type="dxa"/>
              <w:end w:w="90" w:type="dxa"/>
            </w:tcMar>
          </w:tcPr>
          <w:p>
            <w:pPr>
              <w:spacing w:after="40" w:before="40"/>
            </w:pPr>
            <w:r>
              <w:rPr>
                <w:rFonts w:ascii="Aptos" w:hAnsi="Aptos"/>
                <w:sz w:val="17"/>
              </w:rPr>
              <w:t>INC-002</w:t>
            </w:r>
          </w:p>
        </w:tc>
        <w:tc>
          <w:tcPr>
            <w:tcW w:type="dxa" w:w="2556"/>
            <w:vAlign w:val="center"/>
            <w:tcMar>
              <w:top w:w="90" w:type="dxa"/>
              <w:start w:w="90" w:type="dxa"/>
              <w:bottom w:w="90" w:type="dxa"/>
              <w:end w:w="90" w:type="dxa"/>
            </w:tcMar>
          </w:tcPr>
          <w:p>
            <w:pPr>
              <w:spacing w:after="40" w:before="40"/>
            </w:pPr>
            <w:r>
              <w:rPr>
                <w:rFonts w:ascii="Aptos" w:hAnsi="Aptos"/>
                <w:sz w:val="17"/>
              </w:rPr>
              <w:t>Intermediate plates require documented stability or hold-time guidance before incubation.</w:t>
            </w:r>
          </w:p>
        </w:tc>
        <w:tc>
          <w:tcPr>
            <w:tcW w:type="dxa" w:w="2556"/>
            <w:vAlign w:val="center"/>
            <w:tcMar>
              <w:top w:w="90" w:type="dxa"/>
              <w:start w:w="90" w:type="dxa"/>
              <w:bottom w:w="90" w:type="dxa"/>
              <w:end w:w="90" w:type="dxa"/>
            </w:tcMar>
          </w:tcPr>
          <w:p>
            <w:pPr>
              <w:spacing w:after="40" w:before="40"/>
            </w:pPr>
            <w:r>
              <w:rPr>
                <w:rFonts w:ascii="Aptos" w:hAnsi="Aptos"/>
                <w:sz w:val="17"/>
              </w:rPr>
              <w:t>WARNING if incubation condition is not documented.</w:t>
            </w:r>
          </w:p>
        </w:tc>
        <w:tc>
          <w:tcPr>
            <w:tcW w:type="dxa" w:w="2556"/>
            <w:vAlign w:val="center"/>
            <w:tcMar>
              <w:top w:w="90" w:type="dxa"/>
              <w:start w:w="90" w:type="dxa"/>
              <w:bottom w:w="90" w:type="dxa"/>
              <w:end w:w="90" w:type="dxa"/>
            </w:tcMar>
          </w:tcPr>
          <w:p>
            <w:pPr>
              <w:spacing w:after="40" w:before="40"/>
            </w:pPr>
            <w:r>
              <w:rPr>
                <w:rFonts w:ascii="Aptos" w:hAnsi="Aptos"/>
                <w:sz w:val="17"/>
              </w:rPr>
              <w:t>Intermediate ID, temperature, duration</w:t>
            </w:r>
          </w:p>
        </w:tc>
      </w:tr>
      <w:tr>
        <w:tc>
          <w:tcPr>
            <w:tcW w:type="dxa" w:w="2556"/>
            <w:vAlign w:val="center"/>
            <w:tcMar>
              <w:top w:w="90" w:type="dxa"/>
              <w:start w:w="90" w:type="dxa"/>
              <w:bottom w:w="90" w:type="dxa"/>
              <w:end w:w="90" w:type="dxa"/>
            </w:tcMar>
          </w:tcPr>
          <w:p>
            <w:pPr>
              <w:spacing w:after="40" w:before="40"/>
            </w:pPr>
            <w:r>
              <w:rPr>
                <w:rFonts w:ascii="Aptos" w:hAnsi="Aptos"/>
                <w:sz w:val="17"/>
              </w:rPr>
              <w:t>INC-003</w:t>
            </w:r>
          </w:p>
        </w:tc>
        <w:tc>
          <w:tcPr>
            <w:tcW w:type="dxa" w:w="2556"/>
            <w:vAlign w:val="center"/>
            <w:tcMar>
              <w:top w:w="90" w:type="dxa"/>
              <w:start w:w="90" w:type="dxa"/>
              <w:bottom w:w="90" w:type="dxa"/>
              <w:end w:w="90" w:type="dxa"/>
            </w:tcMar>
          </w:tcPr>
          <w:p>
            <w:pPr>
              <w:spacing w:after="40" w:before="40"/>
            </w:pPr>
            <w:r>
              <w:rPr>
                <w:rFonts w:ascii="Aptos" w:hAnsi="Aptos"/>
                <w:sz w:val="17"/>
              </w:rPr>
              <w:t>Assay-ready plates may be incubated according to assay-defined conditions.</w:t>
            </w:r>
          </w:p>
        </w:tc>
        <w:tc>
          <w:tcPr>
            <w:tcW w:type="dxa" w:w="2556"/>
            <w:vAlign w:val="center"/>
            <w:tcMar>
              <w:top w:w="90" w:type="dxa"/>
              <w:start w:w="90" w:type="dxa"/>
              <w:bottom w:w="90" w:type="dxa"/>
              <w:end w:w="90" w:type="dxa"/>
            </w:tcMar>
          </w:tcPr>
          <w:p>
            <w:pPr>
              <w:spacing w:after="40" w:before="40"/>
            </w:pPr>
            <w:r>
              <w:rPr>
                <w:rFonts w:ascii="Aptos" w:hAnsi="Aptos"/>
                <w:sz w:val="17"/>
              </w:rPr>
              <w:t>PASS when temperature and duration are recorded.</w:t>
            </w:r>
          </w:p>
        </w:tc>
        <w:tc>
          <w:tcPr>
            <w:tcW w:type="dxa" w:w="2556"/>
            <w:vAlign w:val="center"/>
            <w:tcMar>
              <w:top w:w="90" w:type="dxa"/>
              <w:start w:w="90" w:type="dxa"/>
              <w:bottom w:w="90" w:type="dxa"/>
              <w:end w:w="90" w:type="dxa"/>
            </w:tcMar>
          </w:tcPr>
          <w:p>
            <w:pPr>
              <w:spacing w:after="40" w:before="40"/>
            </w:pPr>
            <w:r>
              <w:rPr>
                <w:rFonts w:ascii="Aptos" w:hAnsi="Aptos"/>
                <w:sz w:val="17"/>
              </w:rPr>
              <w:t>Assay type, temperature, duration</w:t>
            </w:r>
          </w:p>
        </w:tc>
      </w:tr>
      <w:tr>
        <w:tc>
          <w:tcPr>
            <w:tcW w:type="dxa" w:w="2556"/>
            <w:vAlign w:val="center"/>
            <w:tcMar>
              <w:top w:w="90" w:type="dxa"/>
              <w:start w:w="90" w:type="dxa"/>
              <w:bottom w:w="90" w:type="dxa"/>
              <w:end w:w="90" w:type="dxa"/>
            </w:tcMar>
          </w:tcPr>
          <w:p>
            <w:pPr>
              <w:spacing w:after="40" w:before="40"/>
            </w:pPr>
            <w:r>
              <w:rPr>
                <w:rFonts w:ascii="Aptos" w:hAnsi="Aptos"/>
                <w:sz w:val="17"/>
              </w:rPr>
              <w:t>INC-004</w:t>
            </w:r>
          </w:p>
        </w:tc>
        <w:tc>
          <w:tcPr>
            <w:tcW w:type="dxa" w:w="2556"/>
            <w:vAlign w:val="center"/>
            <w:tcMar>
              <w:top w:w="90" w:type="dxa"/>
              <w:start w:w="90" w:type="dxa"/>
              <w:bottom w:w="90" w:type="dxa"/>
              <w:end w:w="90" w:type="dxa"/>
            </w:tcMar>
          </w:tcPr>
          <w:p>
            <w:pPr>
              <w:spacing w:after="40" w:before="40"/>
            </w:pPr>
            <w:r>
              <w:rPr>
                <w:rFonts w:ascii="Aptos" w:hAnsi="Aptos"/>
                <w:sz w:val="17"/>
              </w:rPr>
              <w:t>Elevated temperature exposure requires review when compound stability is unknown.</w:t>
            </w:r>
          </w:p>
        </w:tc>
        <w:tc>
          <w:tcPr>
            <w:tcW w:type="dxa" w:w="2556"/>
            <w:vAlign w:val="center"/>
            <w:tcMar>
              <w:top w:w="90" w:type="dxa"/>
              <w:start w:w="90" w:type="dxa"/>
              <w:bottom w:w="90" w:type="dxa"/>
              <w:end w:w="90" w:type="dxa"/>
            </w:tcMar>
          </w:tcPr>
          <w:p>
            <w:pPr>
              <w:spacing w:after="40" w:before="40"/>
            </w:pPr>
            <w:r>
              <w:rPr>
                <w:rFonts w:ascii="Aptos" w:hAnsi="Aptos"/>
                <w:sz w:val="17"/>
              </w:rPr>
              <w:t>WARNING or BLOCK depending on stability evidence.</w:t>
            </w:r>
          </w:p>
        </w:tc>
        <w:tc>
          <w:tcPr>
            <w:tcW w:type="dxa" w:w="2556"/>
            <w:vAlign w:val="center"/>
            <w:tcMar>
              <w:top w:w="90" w:type="dxa"/>
              <w:start w:w="90" w:type="dxa"/>
              <w:bottom w:w="90" w:type="dxa"/>
              <w:end w:w="90" w:type="dxa"/>
            </w:tcMar>
          </w:tcPr>
          <w:p>
            <w:pPr>
              <w:spacing w:after="40" w:before="40"/>
            </w:pPr>
            <w:r>
              <w:rPr>
                <w:rFonts w:ascii="Aptos" w:hAnsi="Aptos"/>
                <w:sz w:val="17"/>
              </w:rPr>
              <w:t>Temperature, duration, stability note</w:t>
            </w:r>
          </w:p>
        </w:tc>
      </w:tr>
      <w:tr>
        <w:tc>
          <w:tcPr>
            <w:tcW w:type="dxa" w:w="2556"/>
            <w:vAlign w:val="center"/>
            <w:tcMar>
              <w:top w:w="90" w:type="dxa"/>
              <w:start w:w="90" w:type="dxa"/>
              <w:bottom w:w="90" w:type="dxa"/>
              <w:end w:w="90" w:type="dxa"/>
            </w:tcMar>
          </w:tcPr>
          <w:p>
            <w:pPr>
              <w:spacing w:after="40" w:before="40"/>
            </w:pPr>
            <w:r>
              <w:rPr>
                <w:rFonts w:ascii="Aptos" w:hAnsi="Aptos"/>
                <w:sz w:val="17"/>
              </w:rPr>
              <w:t>INC-005</w:t>
            </w:r>
          </w:p>
        </w:tc>
        <w:tc>
          <w:tcPr>
            <w:tcW w:type="dxa" w:w="2556"/>
            <w:vAlign w:val="center"/>
            <w:tcMar>
              <w:top w:w="90" w:type="dxa"/>
              <w:start w:w="90" w:type="dxa"/>
              <w:bottom w:w="90" w:type="dxa"/>
              <w:end w:w="90" w:type="dxa"/>
            </w:tcMar>
          </w:tcPr>
          <w:p>
            <w:pPr>
              <w:spacing w:after="40" w:before="40"/>
            </w:pPr>
            <w:r>
              <w:rPr>
                <w:rFonts w:ascii="Aptos" w:hAnsi="Aptos"/>
                <w:sz w:val="17"/>
              </w:rPr>
              <w:t>Seal compatibility must be confirmed for incubated plates.</w:t>
            </w:r>
          </w:p>
        </w:tc>
        <w:tc>
          <w:tcPr>
            <w:tcW w:type="dxa" w:w="2556"/>
            <w:vAlign w:val="center"/>
            <w:tcMar>
              <w:top w:w="90" w:type="dxa"/>
              <w:start w:w="90" w:type="dxa"/>
              <w:bottom w:w="90" w:type="dxa"/>
              <w:end w:w="90" w:type="dxa"/>
            </w:tcMar>
          </w:tcPr>
          <w:p>
            <w:pPr>
              <w:spacing w:after="40" w:before="40"/>
            </w:pPr>
            <w:r>
              <w:rPr>
                <w:rFonts w:ascii="Aptos" w:hAnsi="Aptos"/>
                <w:sz w:val="17"/>
              </w:rPr>
              <w:t>WARNING if seal compatibility is unknown.</w:t>
            </w:r>
          </w:p>
        </w:tc>
        <w:tc>
          <w:tcPr>
            <w:tcW w:type="dxa" w:w="2556"/>
            <w:vAlign w:val="center"/>
            <w:tcMar>
              <w:top w:w="90" w:type="dxa"/>
              <w:start w:w="90" w:type="dxa"/>
              <w:bottom w:w="90" w:type="dxa"/>
              <w:end w:w="90" w:type="dxa"/>
            </w:tcMar>
          </w:tcPr>
          <w:p>
            <w:pPr>
              <w:spacing w:after="40" w:before="40"/>
            </w:pPr>
            <w:r>
              <w:rPr>
                <w:rFonts w:ascii="Aptos" w:hAnsi="Aptos"/>
                <w:sz w:val="17"/>
              </w:rPr>
              <w:t>Seal type, incubation condition</w:t>
            </w:r>
          </w:p>
        </w:tc>
      </w:tr>
    </w:tbl>
    <w:p/>
    <w:p>
      <w:pPr>
        <w:pStyle w:val="Heading1"/>
      </w:pPr>
      <w:r>
        <w:rPr>
          <w:rFonts w:ascii="Aptos Display" w:hAnsi="Aptos Display"/>
          <w:color w:val="1F4E79"/>
          <w:sz w:val="30"/>
        </w:rPr>
        <w:t>16. Plate Transport and Shipping Requirements</w:t>
      </w:r>
    </w:p>
    <w:p>
      <w:r>
        <w:t>Compound-containing plates that are transported between benches, rooms, buildings, or sites should remain sealed and traceable. Temperature requirements should match the plate type, solvent, and intended use.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TRN-001</w:t>
            </w:r>
          </w:p>
        </w:tc>
        <w:tc>
          <w:tcPr>
            <w:tcW w:type="dxa" w:w="2556"/>
            <w:vAlign w:val="center"/>
            <w:tcMar>
              <w:top w:w="90" w:type="dxa"/>
              <w:start w:w="90" w:type="dxa"/>
              <w:bottom w:w="90" w:type="dxa"/>
              <w:end w:w="90" w:type="dxa"/>
            </w:tcMar>
          </w:tcPr>
          <w:p>
            <w:pPr>
              <w:spacing w:after="40" w:before="40"/>
            </w:pPr>
            <w:r>
              <w:rPr>
                <w:rFonts w:ascii="Aptos" w:hAnsi="Aptos"/>
                <w:sz w:val="17"/>
              </w:rPr>
              <w:t>Plates must remain sealed during transport.</w:t>
            </w:r>
          </w:p>
        </w:tc>
        <w:tc>
          <w:tcPr>
            <w:tcW w:type="dxa" w:w="2556"/>
            <w:vAlign w:val="center"/>
            <w:tcMar>
              <w:top w:w="90" w:type="dxa"/>
              <w:start w:w="90" w:type="dxa"/>
              <w:bottom w:w="90" w:type="dxa"/>
              <w:end w:w="90" w:type="dxa"/>
            </w:tcMar>
          </w:tcPr>
          <w:p>
            <w:pPr>
              <w:spacing w:after="40" w:before="40"/>
            </w:pPr>
            <w:r>
              <w:rPr>
                <w:rFonts w:ascii="Aptos" w:hAnsi="Aptos"/>
                <w:sz w:val="17"/>
              </w:rPr>
              <w:t>BLOCK if unsealed during transport.</w:t>
            </w:r>
          </w:p>
        </w:tc>
        <w:tc>
          <w:tcPr>
            <w:tcW w:type="dxa" w:w="2556"/>
            <w:vAlign w:val="center"/>
            <w:tcMar>
              <w:top w:w="90" w:type="dxa"/>
              <w:start w:w="90" w:type="dxa"/>
              <w:bottom w:w="90" w:type="dxa"/>
              <w:end w:w="90" w:type="dxa"/>
            </w:tcMar>
          </w:tcPr>
          <w:p>
            <w:pPr>
              <w:spacing w:after="40" w:before="40"/>
            </w:pPr>
            <w:r>
              <w:rPr>
                <w:rFonts w:ascii="Aptos" w:hAnsi="Aptos"/>
                <w:sz w:val="17"/>
              </w:rPr>
              <w:t>Plate ID, seal status</w:t>
            </w:r>
          </w:p>
        </w:tc>
      </w:tr>
      <w:tr>
        <w:tc>
          <w:tcPr>
            <w:tcW w:type="dxa" w:w="2556"/>
            <w:vAlign w:val="center"/>
            <w:tcMar>
              <w:top w:w="90" w:type="dxa"/>
              <w:start w:w="90" w:type="dxa"/>
              <w:bottom w:w="90" w:type="dxa"/>
              <w:end w:w="90" w:type="dxa"/>
            </w:tcMar>
          </w:tcPr>
          <w:p>
            <w:pPr>
              <w:spacing w:after="40" w:before="40"/>
            </w:pPr>
            <w:r>
              <w:rPr>
                <w:rFonts w:ascii="Aptos" w:hAnsi="Aptos"/>
                <w:sz w:val="17"/>
              </w:rPr>
              <w:t>TRN-002</w:t>
            </w:r>
          </w:p>
        </w:tc>
        <w:tc>
          <w:tcPr>
            <w:tcW w:type="dxa" w:w="2556"/>
            <w:vAlign w:val="center"/>
            <w:tcMar>
              <w:top w:w="90" w:type="dxa"/>
              <w:start w:w="90" w:type="dxa"/>
              <w:bottom w:w="90" w:type="dxa"/>
              <w:end w:w="90" w:type="dxa"/>
            </w:tcMar>
          </w:tcPr>
          <w:p>
            <w:pPr>
              <w:spacing w:after="40" w:before="40"/>
            </w:pPr>
            <w:r>
              <w:rPr>
                <w:rFonts w:ascii="Aptos" w:hAnsi="Aptos"/>
                <w:sz w:val="17"/>
              </w:rPr>
              <w:t>Transport temperature must match required storage condition when specified.</w:t>
            </w:r>
          </w:p>
        </w:tc>
        <w:tc>
          <w:tcPr>
            <w:tcW w:type="dxa" w:w="2556"/>
            <w:vAlign w:val="center"/>
            <w:tcMar>
              <w:top w:w="90" w:type="dxa"/>
              <w:start w:w="90" w:type="dxa"/>
              <w:bottom w:w="90" w:type="dxa"/>
              <w:end w:w="90" w:type="dxa"/>
            </w:tcMar>
          </w:tcPr>
          <w:p>
            <w:pPr>
              <w:spacing w:after="40" w:before="40"/>
            </w:pPr>
            <w:r>
              <w:rPr>
                <w:rFonts w:ascii="Aptos" w:hAnsi="Aptos"/>
                <w:sz w:val="17"/>
              </w:rPr>
              <w:t>WARNING if temperature record is missing; BLOCK if excursion compromises material.</w:t>
            </w:r>
          </w:p>
        </w:tc>
        <w:tc>
          <w:tcPr>
            <w:tcW w:type="dxa" w:w="2556"/>
            <w:vAlign w:val="center"/>
            <w:tcMar>
              <w:top w:w="90" w:type="dxa"/>
              <w:start w:w="90" w:type="dxa"/>
              <w:bottom w:w="90" w:type="dxa"/>
              <w:end w:w="90" w:type="dxa"/>
            </w:tcMar>
          </w:tcPr>
          <w:p>
            <w:pPr>
              <w:spacing w:after="40" w:before="40"/>
            </w:pPr>
            <w:r>
              <w:rPr>
                <w:rFonts w:ascii="Aptos" w:hAnsi="Aptos"/>
                <w:sz w:val="17"/>
              </w:rPr>
              <w:t>Transport temperature record</w:t>
            </w:r>
          </w:p>
        </w:tc>
      </w:tr>
      <w:tr>
        <w:tc>
          <w:tcPr>
            <w:tcW w:type="dxa" w:w="2556"/>
            <w:vAlign w:val="center"/>
            <w:tcMar>
              <w:top w:w="90" w:type="dxa"/>
              <w:start w:w="90" w:type="dxa"/>
              <w:bottom w:w="90" w:type="dxa"/>
              <w:end w:w="90" w:type="dxa"/>
            </w:tcMar>
          </w:tcPr>
          <w:p>
            <w:pPr>
              <w:spacing w:after="40" w:before="40"/>
            </w:pPr>
            <w:r>
              <w:rPr>
                <w:rFonts w:ascii="Aptos" w:hAnsi="Aptos"/>
                <w:sz w:val="17"/>
              </w:rPr>
              <w:t>TRN-003</w:t>
            </w:r>
          </w:p>
        </w:tc>
        <w:tc>
          <w:tcPr>
            <w:tcW w:type="dxa" w:w="2556"/>
            <w:vAlign w:val="center"/>
            <w:tcMar>
              <w:top w:w="90" w:type="dxa"/>
              <w:start w:w="90" w:type="dxa"/>
              <w:bottom w:w="90" w:type="dxa"/>
              <w:end w:w="90" w:type="dxa"/>
            </w:tcMar>
          </w:tcPr>
          <w:p>
            <w:pPr>
              <w:spacing w:after="40" w:before="40"/>
            </w:pPr>
            <w:r>
              <w:rPr>
                <w:rFonts w:ascii="Aptos" w:hAnsi="Aptos"/>
                <w:sz w:val="17"/>
              </w:rPr>
              <w:t>Frozen plates should maintain frozen-condition handling when required by solvent or stability guidance.</w:t>
            </w:r>
          </w:p>
        </w:tc>
        <w:tc>
          <w:tcPr>
            <w:tcW w:type="dxa" w:w="2556"/>
            <w:vAlign w:val="center"/>
            <w:tcMar>
              <w:top w:w="90" w:type="dxa"/>
              <w:start w:w="90" w:type="dxa"/>
              <w:bottom w:w="90" w:type="dxa"/>
              <w:end w:w="90" w:type="dxa"/>
            </w:tcMar>
          </w:tcPr>
          <w:p>
            <w:pPr>
              <w:spacing w:after="40" w:before="40"/>
            </w:pPr>
            <w:r>
              <w:rPr>
                <w:rFonts w:ascii="Aptos" w:hAnsi="Aptos"/>
                <w:sz w:val="17"/>
              </w:rPr>
              <w:t>WARNING if frozen transport evidence is missing.</w:t>
            </w:r>
          </w:p>
        </w:tc>
        <w:tc>
          <w:tcPr>
            <w:tcW w:type="dxa" w:w="2556"/>
            <w:vAlign w:val="center"/>
            <w:tcMar>
              <w:top w:w="90" w:type="dxa"/>
              <w:start w:w="90" w:type="dxa"/>
              <w:bottom w:w="90" w:type="dxa"/>
              <w:end w:w="90" w:type="dxa"/>
            </w:tcMar>
          </w:tcPr>
          <w:p>
            <w:pPr>
              <w:spacing w:after="40" w:before="40"/>
            </w:pPr>
            <w:r>
              <w:rPr>
                <w:rFonts w:ascii="Aptos" w:hAnsi="Aptos"/>
                <w:sz w:val="17"/>
              </w:rPr>
              <w:t>Temperature record, packaging note</w:t>
            </w:r>
          </w:p>
        </w:tc>
      </w:tr>
      <w:tr>
        <w:tc>
          <w:tcPr>
            <w:tcW w:type="dxa" w:w="2556"/>
            <w:vAlign w:val="center"/>
            <w:tcMar>
              <w:top w:w="90" w:type="dxa"/>
              <w:start w:w="90" w:type="dxa"/>
              <w:bottom w:w="90" w:type="dxa"/>
              <w:end w:w="90" w:type="dxa"/>
            </w:tcMar>
          </w:tcPr>
          <w:p>
            <w:pPr>
              <w:spacing w:after="40" w:before="40"/>
            </w:pPr>
            <w:r>
              <w:rPr>
                <w:rFonts w:ascii="Aptos" w:hAnsi="Aptos"/>
                <w:sz w:val="17"/>
              </w:rPr>
              <w:t>TRN-004</w:t>
            </w:r>
          </w:p>
        </w:tc>
        <w:tc>
          <w:tcPr>
            <w:tcW w:type="dxa" w:w="2556"/>
            <w:vAlign w:val="center"/>
            <w:tcMar>
              <w:top w:w="90" w:type="dxa"/>
              <w:start w:w="90" w:type="dxa"/>
              <w:bottom w:w="90" w:type="dxa"/>
              <w:end w:w="90" w:type="dxa"/>
            </w:tcMar>
          </w:tcPr>
          <w:p>
            <w:pPr>
              <w:spacing w:after="40" w:before="40"/>
            </w:pPr>
            <w:r>
              <w:rPr>
                <w:rFonts w:ascii="Aptos" w:hAnsi="Aptos"/>
                <w:sz w:val="17"/>
              </w:rPr>
              <w:t>Chain-of-custody information should be recorded for cross-site shipment.</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if sender, receiver, date, or plate ID is missing.</w:t>
            </w:r>
          </w:p>
        </w:tc>
        <w:tc>
          <w:tcPr>
            <w:tcW w:type="dxa" w:w="2556"/>
            <w:vAlign w:val="center"/>
            <w:tcMar>
              <w:top w:w="90" w:type="dxa"/>
              <w:start w:w="90" w:type="dxa"/>
              <w:bottom w:w="90" w:type="dxa"/>
              <w:end w:w="90" w:type="dxa"/>
            </w:tcMar>
          </w:tcPr>
          <w:p>
            <w:pPr>
              <w:spacing w:after="40" w:before="40"/>
            </w:pPr>
            <w:r>
              <w:rPr>
                <w:rFonts w:ascii="Aptos" w:hAnsi="Aptos"/>
                <w:sz w:val="17"/>
              </w:rPr>
              <w:t>Sender, receiver, date, plate ID</w:t>
            </w:r>
          </w:p>
        </w:tc>
      </w:tr>
      <w:tr>
        <w:tc>
          <w:tcPr>
            <w:tcW w:type="dxa" w:w="2556"/>
            <w:vAlign w:val="center"/>
            <w:tcMar>
              <w:top w:w="90" w:type="dxa"/>
              <w:start w:w="90" w:type="dxa"/>
              <w:bottom w:w="90" w:type="dxa"/>
              <w:end w:w="90" w:type="dxa"/>
            </w:tcMar>
          </w:tcPr>
          <w:p>
            <w:pPr>
              <w:spacing w:after="40" w:before="40"/>
            </w:pPr>
            <w:r>
              <w:rPr>
                <w:rFonts w:ascii="Aptos" w:hAnsi="Aptos"/>
                <w:sz w:val="17"/>
              </w:rPr>
              <w:t>TRN-005</w:t>
            </w:r>
          </w:p>
        </w:tc>
        <w:tc>
          <w:tcPr>
            <w:tcW w:type="dxa" w:w="2556"/>
            <w:vAlign w:val="center"/>
            <w:tcMar>
              <w:top w:w="90" w:type="dxa"/>
              <w:start w:w="90" w:type="dxa"/>
              <w:bottom w:w="90" w:type="dxa"/>
              <w:end w:w="90" w:type="dxa"/>
            </w:tcMar>
          </w:tcPr>
          <w:p>
            <w:pPr>
              <w:spacing w:after="40" w:before="40"/>
            </w:pPr>
            <w:r>
              <w:rPr>
                <w:rFonts w:ascii="Aptos" w:hAnsi="Aptos"/>
                <w:sz w:val="17"/>
              </w:rPr>
              <w:t>Seal inspection should be performed after transport.</w:t>
            </w:r>
          </w:p>
        </w:tc>
        <w:tc>
          <w:tcPr>
            <w:tcW w:type="dxa" w:w="2556"/>
            <w:vAlign w:val="center"/>
            <w:tcMar>
              <w:top w:w="90" w:type="dxa"/>
              <w:start w:w="90" w:type="dxa"/>
              <w:bottom w:w="90" w:type="dxa"/>
              <w:end w:w="90" w:type="dxa"/>
            </w:tcMar>
          </w:tcPr>
          <w:p>
            <w:pPr>
              <w:spacing w:after="40" w:before="40"/>
            </w:pPr>
            <w:r>
              <w:rPr>
                <w:rFonts w:ascii="Aptos" w:hAnsi="Aptos"/>
                <w:sz w:val="17"/>
              </w:rPr>
              <w:t>WARNING or BLOCK if seal damage is observed.</w:t>
            </w:r>
          </w:p>
        </w:tc>
        <w:tc>
          <w:tcPr>
            <w:tcW w:type="dxa" w:w="2556"/>
            <w:vAlign w:val="center"/>
            <w:tcMar>
              <w:top w:w="90" w:type="dxa"/>
              <w:start w:w="90" w:type="dxa"/>
              <w:bottom w:w="90" w:type="dxa"/>
              <w:end w:w="90" w:type="dxa"/>
            </w:tcMar>
          </w:tcPr>
          <w:p>
            <w:pPr>
              <w:spacing w:after="40" w:before="40"/>
            </w:pPr>
            <w:r>
              <w:rPr>
                <w:rFonts w:ascii="Aptos" w:hAnsi="Aptos"/>
                <w:sz w:val="17"/>
              </w:rPr>
              <w:t>Post-transport inspection</w:t>
            </w:r>
          </w:p>
        </w:tc>
      </w:tr>
    </w:tbl>
    <w:p/>
    <w:p>
      <w:pPr>
        <w:pStyle w:val="Heading1"/>
      </w:pPr>
      <w:r>
        <w:rPr>
          <w:rFonts w:ascii="Aptos Display" w:hAnsi="Aptos Display"/>
          <w:color w:val="1F4E79"/>
          <w:sz w:val="30"/>
        </w:rPr>
        <w:t>17. Freeze-Thaw Requirements for All Solvents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FT-001</w:t>
            </w:r>
          </w:p>
        </w:tc>
        <w:tc>
          <w:tcPr>
            <w:tcW w:type="dxa" w:w="2556"/>
            <w:vAlign w:val="center"/>
            <w:tcMar>
              <w:top w:w="90" w:type="dxa"/>
              <w:start w:w="90" w:type="dxa"/>
              <w:bottom w:w="90" w:type="dxa"/>
              <w:end w:w="90" w:type="dxa"/>
            </w:tcMar>
          </w:tcPr>
          <w:p>
            <w:pPr>
              <w:spacing w:after="40" w:before="40"/>
            </w:pPr>
            <w:r>
              <w:rPr>
                <w:rFonts w:ascii="Aptos" w:hAnsi="Aptos"/>
                <w:sz w:val="17"/>
              </w:rPr>
              <w:t>Maximum permitted freeze-thaw count is &lt;= 4 cycles.</w:t>
            </w:r>
          </w:p>
        </w:tc>
        <w:tc>
          <w:tcPr>
            <w:tcW w:type="dxa" w:w="2556"/>
            <w:vAlign w:val="center"/>
            <w:tcMar>
              <w:top w:w="90" w:type="dxa"/>
              <w:start w:w="90" w:type="dxa"/>
              <w:bottom w:w="90" w:type="dxa"/>
              <w:end w:w="90" w:type="dxa"/>
            </w:tcMar>
          </w:tcPr>
          <w:p>
            <w:pPr>
              <w:spacing w:after="40" w:before="40"/>
            </w:pPr>
            <w:r>
              <w:rPr>
                <w:rFonts w:ascii="Aptos" w:hAnsi="Aptos"/>
                <w:sz w:val="17"/>
              </w:rPr>
              <w:t>PASS at 0-4 cycles; BLOCK at 5 or more cycles.</w:t>
            </w:r>
          </w:p>
        </w:tc>
        <w:tc>
          <w:tcPr>
            <w:tcW w:type="dxa" w:w="2556"/>
            <w:vAlign w:val="center"/>
            <w:tcMar>
              <w:top w:w="90" w:type="dxa"/>
              <w:start w:w="90" w:type="dxa"/>
              <w:bottom w:w="90" w:type="dxa"/>
              <w:end w:w="90" w:type="dxa"/>
            </w:tcMar>
          </w:tcPr>
          <w:p>
            <w:pPr>
              <w:spacing w:after="40" w:before="40"/>
            </w:pPr>
            <w:r>
              <w:rPr>
                <w:rFonts w:ascii="Aptos" w:hAnsi="Aptos"/>
                <w:sz w:val="17"/>
              </w:rPr>
              <w:t>Recorded count, limit, result</w:t>
            </w:r>
          </w:p>
        </w:tc>
      </w:tr>
      <w:tr>
        <w:tc>
          <w:tcPr>
            <w:tcW w:type="dxa" w:w="2556"/>
            <w:vAlign w:val="center"/>
            <w:tcMar>
              <w:top w:w="90" w:type="dxa"/>
              <w:start w:w="90" w:type="dxa"/>
              <w:bottom w:w="90" w:type="dxa"/>
              <w:end w:w="90" w:type="dxa"/>
            </w:tcMar>
          </w:tcPr>
          <w:p>
            <w:pPr>
              <w:spacing w:after="40" w:before="40"/>
            </w:pPr>
            <w:r>
              <w:rPr>
                <w:rFonts w:ascii="Aptos" w:hAnsi="Aptos"/>
                <w:sz w:val="17"/>
              </w:rPr>
              <w:t>FT-002</w:t>
            </w:r>
          </w:p>
        </w:tc>
        <w:tc>
          <w:tcPr>
            <w:tcW w:type="dxa" w:w="2556"/>
            <w:vAlign w:val="center"/>
            <w:tcMar>
              <w:top w:w="90" w:type="dxa"/>
              <w:start w:w="90" w:type="dxa"/>
              <w:bottom w:w="90" w:type="dxa"/>
              <w:end w:w="90" w:type="dxa"/>
            </w:tcMar>
          </w:tcPr>
          <w:p>
            <w:pPr>
              <w:spacing w:after="40" w:before="40"/>
            </w:pPr>
            <w:r>
              <w:rPr>
                <w:rFonts w:ascii="Aptos" w:hAnsi="Aptos"/>
                <w:sz w:val="17"/>
              </w:rPr>
              <w:t>Freeze-thaw count is required.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when count is blank or unknown.</w:t>
            </w:r>
          </w:p>
        </w:tc>
        <w:tc>
          <w:tcPr>
            <w:tcW w:type="dxa" w:w="2556"/>
            <w:vAlign w:val="center"/>
            <w:tcMar>
              <w:top w:w="90" w:type="dxa"/>
              <w:start w:w="90" w:type="dxa"/>
              <w:bottom w:w="90" w:type="dxa"/>
              <w:end w:w="90" w:type="dxa"/>
            </w:tcMar>
          </w:tcPr>
          <w:p>
            <w:pPr>
              <w:spacing w:after="40" w:before="40"/>
            </w:pPr>
            <w:r>
              <w:rPr>
                <w:rFonts w:ascii="Aptos" w:hAnsi="Aptos"/>
                <w:sz w:val="17"/>
              </w:rPr>
              <w:t>Container and cycle record</w:t>
            </w:r>
          </w:p>
        </w:tc>
      </w:tr>
      <w:tr>
        <w:tc>
          <w:tcPr>
            <w:tcW w:type="dxa" w:w="2556"/>
            <w:vAlign w:val="center"/>
            <w:tcMar>
              <w:top w:w="90" w:type="dxa"/>
              <w:start w:w="90" w:type="dxa"/>
              <w:bottom w:w="90" w:type="dxa"/>
              <w:end w:w="90" w:type="dxa"/>
            </w:tcMar>
          </w:tcPr>
          <w:p>
            <w:pPr>
              <w:spacing w:after="40" w:before="40"/>
            </w:pPr>
            <w:r>
              <w:rPr>
                <w:rFonts w:ascii="Aptos" w:hAnsi="Aptos"/>
                <w:sz w:val="17"/>
              </w:rPr>
              <w:t>FT-003</w:t>
            </w:r>
          </w:p>
        </w:tc>
        <w:tc>
          <w:tcPr>
            <w:tcW w:type="dxa" w:w="2556"/>
            <w:vAlign w:val="center"/>
            <w:tcMar>
              <w:top w:w="90" w:type="dxa"/>
              <w:start w:w="90" w:type="dxa"/>
              <w:bottom w:w="90" w:type="dxa"/>
              <w:end w:w="90" w:type="dxa"/>
            </w:tcMar>
          </w:tcPr>
          <w:p>
            <w:pPr>
              <w:spacing w:after="40" w:before="40"/>
            </w:pPr>
            <w:r>
              <w:rPr>
                <w:rFonts w:ascii="Aptos" w:hAnsi="Aptos"/>
                <w:sz w:val="17"/>
              </w:rPr>
              <w:t>Do not combine freeze-thaw counts across separate aliquots or plates.</w:t>
            </w:r>
          </w:p>
        </w:tc>
        <w:tc>
          <w:tcPr>
            <w:tcW w:type="dxa" w:w="2556"/>
            <w:vAlign w:val="center"/>
            <w:tcMar>
              <w:top w:w="90" w:type="dxa"/>
              <w:start w:w="90" w:type="dxa"/>
              <w:bottom w:w="90" w:type="dxa"/>
              <w:end w:w="90" w:type="dxa"/>
            </w:tcMar>
          </w:tcPr>
          <w:p>
            <w:pPr>
              <w:spacing w:after="40" w:before="40"/>
            </w:pPr>
            <w:r>
              <w:rPr>
                <w:rFonts w:ascii="Aptos" w:hAnsi="Aptos"/>
                <w:sz w:val="17"/>
              </w:rPr>
              <w:t>FLAG duplicate or missing container identifiers.</w:t>
            </w:r>
          </w:p>
        </w:tc>
        <w:tc>
          <w:tcPr>
            <w:tcW w:type="dxa" w:w="2556"/>
            <w:vAlign w:val="center"/>
            <w:tcMar>
              <w:top w:w="90" w:type="dxa"/>
              <w:start w:w="90" w:type="dxa"/>
              <w:bottom w:w="90" w:type="dxa"/>
              <w:end w:w="90" w:type="dxa"/>
            </w:tcMar>
          </w:tcPr>
          <w:p>
            <w:pPr>
              <w:spacing w:after="40" w:before="40"/>
            </w:pPr>
            <w:r>
              <w:rPr>
                <w:rFonts w:ascii="Aptos" w:hAnsi="Aptos"/>
                <w:sz w:val="17"/>
              </w:rPr>
              <w:t>Compound ID and container ID</w:t>
            </w:r>
          </w:p>
        </w:tc>
      </w:tr>
      <w:tr>
        <w:tc>
          <w:tcPr>
            <w:tcW w:type="dxa" w:w="2556"/>
            <w:vAlign w:val="center"/>
            <w:tcMar>
              <w:top w:w="90" w:type="dxa"/>
              <w:start w:w="90" w:type="dxa"/>
              <w:bottom w:w="90" w:type="dxa"/>
              <w:end w:w="90" w:type="dxa"/>
            </w:tcMar>
          </w:tcPr>
          <w:p>
            <w:pPr>
              <w:spacing w:after="40" w:before="40"/>
            </w:pPr>
            <w:r>
              <w:rPr>
                <w:rFonts w:ascii="Aptos" w:hAnsi="Aptos"/>
                <w:sz w:val="17"/>
              </w:rPr>
              <w:t>FT-004</w:t>
            </w:r>
          </w:p>
        </w:tc>
        <w:tc>
          <w:tcPr>
            <w:tcW w:type="dxa" w:w="2556"/>
            <w:vAlign w:val="center"/>
            <w:tcMar>
              <w:top w:w="90" w:type="dxa"/>
              <w:start w:w="90" w:type="dxa"/>
              <w:bottom w:w="90" w:type="dxa"/>
              <w:end w:w="90" w:type="dxa"/>
            </w:tcMar>
          </w:tcPr>
          <w:p>
            <w:pPr>
              <w:spacing w:after="40" w:before="40"/>
            </w:pPr>
            <w:r>
              <w:rPr>
                <w:rFonts w:ascii="Aptos" w:hAnsi="Aptos"/>
                <w:sz w:val="17"/>
              </w:rPr>
              <w:t>Increment count after a thawed container or qualifying plate is returned to frozen storage.</w:t>
            </w:r>
          </w:p>
        </w:tc>
        <w:tc>
          <w:tcPr>
            <w:tcW w:type="dxa" w:w="2556"/>
            <w:vAlign w:val="center"/>
            <w:tcMar>
              <w:top w:w="90" w:type="dxa"/>
              <w:start w:w="90" w:type="dxa"/>
              <w:bottom w:w="90" w:type="dxa"/>
              <w:end w:w="90" w:type="dxa"/>
            </w:tcMar>
          </w:tcPr>
          <w:p>
            <w:pPr>
              <w:spacing w:after="40" w:before="40"/>
            </w:pPr>
            <w:r>
              <w:rPr>
                <w:rFonts w:ascii="Aptos" w:hAnsi="Aptos"/>
                <w:sz w:val="17"/>
              </w:rPr>
              <w:t>UPDATE inventory after completed handling.</w:t>
            </w:r>
          </w:p>
        </w:tc>
        <w:tc>
          <w:tcPr>
            <w:tcW w:type="dxa" w:w="2556"/>
            <w:vAlign w:val="center"/>
            <w:tcMar>
              <w:top w:w="90" w:type="dxa"/>
              <w:start w:w="90" w:type="dxa"/>
              <w:bottom w:w="90" w:type="dxa"/>
              <w:end w:w="90" w:type="dxa"/>
            </w:tcMar>
          </w:tcPr>
          <w:p>
            <w:pPr>
              <w:spacing w:after="40" w:before="40"/>
            </w:pPr>
            <w:r>
              <w:rPr>
                <w:rFonts w:ascii="Aptos" w:hAnsi="Aptos"/>
                <w:sz w:val="17"/>
              </w:rPr>
              <w:t>Previous and new count</w:t>
            </w:r>
          </w:p>
        </w:tc>
      </w:tr>
    </w:tbl>
    <w:p/>
    <w:p>
      <w:pPr>
        <w:pStyle w:val="Heading1"/>
      </w:pPr>
      <w:r>
        <w:rPr>
          <w:rFonts w:ascii="Aptos Display" w:hAnsi="Aptos Display"/>
          <w:color w:val="1F4E79"/>
          <w:sz w:val="30"/>
        </w:rPr>
        <w:t>18. Residual Volume and Volume Feasibility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Rule ID</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Requirement</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System Decision</w:t>
            </w:r>
          </w:p>
        </w:tc>
        <w:tc>
          <w:tcPr>
            <w:tcW w:type="dxa" w:w="2556"/>
            <w:vAlign w:val="center"/>
            <w:tcMar>
              <w:top w:w="90" w:type="dxa"/>
              <w:start w:w="90" w:type="dxa"/>
              <w:bottom w:w="90" w:type="dxa"/>
              <w:end w:w="90" w:type="dxa"/>
            </w:tcMar>
            <w:shd w:fill="1F4E79"/>
          </w:tcPr>
          <w:p>
            <w:pPr>
              <w:spacing w:after="40" w:before="40"/>
            </w:pPr>
            <w:r>
              <w:rPr>
                <w:rFonts w:ascii="Aptos" w:hAnsi="Aptos"/>
                <w:b/>
                <w:color w:val="FFFFFF"/>
                <w:sz w:val="17"/>
              </w:rPr>
              <w:t>Evidence Output</w:t>
            </w:r>
          </w:p>
        </w:tc>
      </w:tr>
      <w:tr>
        <w:tc>
          <w:tcPr>
            <w:tcW w:type="dxa" w:w="2556"/>
            <w:vAlign w:val="center"/>
            <w:tcMar>
              <w:top w:w="90" w:type="dxa"/>
              <w:start w:w="90" w:type="dxa"/>
              <w:bottom w:w="90" w:type="dxa"/>
              <w:end w:w="90" w:type="dxa"/>
            </w:tcMar>
          </w:tcPr>
          <w:p>
            <w:pPr>
              <w:spacing w:after="40" w:before="40"/>
            </w:pPr>
            <w:r>
              <w:rPr>
                <w:rFonts w:ascii="Aptos" w:hAnsi="Aptos"/>
                <w:sz w:val="17"/>
              </w:rPr>
              <w:t>VOL-001</w:t>
            </w:r>
          </w:p>
        </w:tc>
        <w:tc>
          <w:tcPr>
            <w:tcW w:type="dxa" w:w="2556"/>
            <w:vAlign w:val="center"/>
            <w:tcMar>
              <w:top w:w="90" w:type="dxa"/>
              <w:start w:w="90" w:type="dxa"/>
              <w:bottom w:w="90" w:type="dxa"/>
              <w:end w:w="90" w:type="dxa"/>
            </w:tcMar>
          </w:tcPr>
          <w:p>
            <w:pPr>
              <w:spacing w:after="40" w:before="40"/>
            </w:pPr>
            <w:r>
              <w:rPr>
                <w:rFonts w:ascii="Aptos" w:hAnsi="Aptos"/>
                <w:sz w:val="17"/>
              </w:rPr>
              <w:t>A minimum residual volume of 10 uL must remain after dispensing.</w:t>
            </w:r>
          </w:p>
        </w:tc>
        <w:tc>
          <w:tcPr>
            <w:tcW w:type="dxa" w:w="2556"/>
            <w:vAlign w:val="center"/>
            <w:tcMar>
              <w:top w:w="90" w:type="dxa"/>
              <w:start w:w="90" w:type="dxa"/>
              <w:bottom w:w="90" w:type="dxa"/>
              <w:end w:w="90" w:type="dxa"/>
            </w:tcMar>
          </w:tcPr>
          <w:p>
            <w:pPr>
              <w:spacing w:after="40" w:before="40"/>
            </w:pPr>
            <w:r>
              <w:rPr>
                <w:rFonts w:ascii="Aptos" w:hAnsi="Aptos"/>
                <w:sz w:val="17"/>
              </w:rPr>
              <w:t>BLOCK if required volume exceeds available volume minus 10 uL.</w:t>
            </w:r>
          </w:p>
        </w:tc>
        <w:tc>
          <w:tcPr>
            <w:tcW w:type="dxa" w:w="2556"/>
            <w:vAlign w:val="center"/>
            <w:tcMar>
              <w:top w:w="90" w:type="dxa"/>
              <w:start w:w="90" w:type="dxa"/>
              <w:bottom w:w="90" w:type="dxa"/>
              <w:end w:w="90" w:type="dxa"/>
            </w:tcMar>
          </w:tcPr>
          <w:p>
            <w:pPr>
              <w:spacing w:after="40" w:before="40"/>
            </w:pPr>
            <w:r>
              <w:rPr>
                <w:rFonts w:ascii="Aptos" w:hAnsi="Aptos"/>
                <w:sz w:val="17"/>
              </w:rPr>
              <w:t>Available, residual, usable, required</w:t>
            </w:r>
          </w:p>
        </w:tc>
      </w:tr>
      <w:tr>
        <w:tc>
          <w:tcPr>
            <w:tcW w:type="dxa" w:w="2556"/>
            <w:vAlign w:val="center"/>
            <w:tcMar>
              <w:top w:w="90" w:type="dxa"/>
              <w:start w:w="90" w:type="dxa"/>
              <w:bottom w:w="90" w:type="dxa"/>
              <w:end w:w="90" w:type="dxa"/>
            </w:tcMar>
          </w:tcPr>
          <w:p>
            <w:pPr>
              <w:spacing w:after="40" w:before="40"/>
            </w:pPr>
            <w:r>
              <w:rPr>
                <w:rFonts w:ascii="Aptos" w:hAnsi="Aptos"/>
                <w:sz w:val="17"/>
              </w:rPr>
              <w:t>VOL-002</w:t>
            </w:r>
          </w:p>
        </w:tc>
        <w:tc>
          <w:tcPr>
            <w:tcW w:type="dxa" w:w="2556"/>
            <w:vAlign w:val="center"/>
            <w:tcMar>
              <w:top w:w="90" w:type="dxa"/>
              <w:start w:w="90" w:type="dxa"/>
              <w:bottom w:w="90" w:type="dxa"/>
              <w:end w:w="90" w:type="dxa"/>
            </w:tcMar>
          </w:tcPr>
          <w:p>
            <w:pPr>
              <w:spacing w:after="40" w:before="40"/>
            </w:pPr>
            <w:r>
              <w:rPr>
                <w:rFonts w:ascii="Aptos" w:hAnsi="Aptos"/>
                <w:sz w:val="17"/>
              </w:rPr>
              <w:t>Echo or source dead volume must be included when calculating source requirement.</w:t>
            </w:r>
          </w:p>
        </w:tc>
        <w:tc>
          <w:tcPr>
            <w:tcW w:type="dxa" w:w="2556"/>
            <w:vAlign w:val="center"/>
            <w:tcMar>
              <w:top w:w="90" w:type="dxa"/>
              <w:start w:w="90" w:type="dxa"/>
              <w:bottom w:w="90" w:type="dxa"/>
              <w:end w:w="90" w:type="dxa"/>
            </w:tcMar>
          </w:tcPr>
          <w:p>
            <w:pPr>
              <w:spacing w:after="40" w:before="40"/>
            </w:pPr>
            <w:r>
              <w:rPr>
                <w:rFonts w:ascii="Aptos" w:hAnsi="Aptos"/>
                <w:sz w:val="17"/>
              </w:rPr>
              <w:t>PASS if total required plus dead volume is within usable volume.</w:t>
            </w:r>
          </w:p>
        </w:tc>
        <w:tc>
          <w:tcPr>
            <w:tcW w:type="dxa" w:w="2556"/>
            <w:vAlign w:val="center"/>
            <w:tcMar>
              <w:top w:w="90" w:type="dxa"/>
              <w:start w:w="90" w:type="dxa"/>
              <w:bottom w:w="90" w:type="dxa"/>
              <w:end w:w="90" w:type="dxa"/>
            </w:tcMar>
          </w:tcPr>
          <w:p>
            <w:pPr>
              <w:spacing w:after="40" w:before="40"/>
            </w:pPr>
            <w:r>
              <w:rPr>
                <w:rFonts w:ascii="Aptos" w:hAnsi="Aptos"/>
                <w:sz w:val="17"/>
              </w:rPr>
              <w:t>Transfer volume, dead volume, source volume</w:t>
            </w:r>
          </w:p>
        </w:tc>
      </w:tr>
      <w:tr>
        <w:tc>
          <w:tcPr>
            <w:tcW w:type="dxa" w:w="2556"/>
            <w:vAlign w:val="center"/>
            <w:tcMar>
              <w:top w:w="90" w:type="dxa"/>
              <w:start w:w="90" w:type="dxa"/>
              <w:bottom w:w="90" w:type="dxa"/>
              <w:end w:w="90" w:type="dxa"/>
            </w:tcMar>
          </w:tcPr>
          <w:p>
            <w:pPr>
              <w:spacing w:after="40" w:before="40"/>
            </w:pPr>
            <w:r>
              <w:rPr>
                <w:rFonts w:ascii="Aptos" w:hAnsi="Aptos"/>
                <w:sz w:val="17"/>
              </w:rPr>
              <w:t>VOL-003</w:t>
            </w:r>
          </w:p>
        </w:tc>
        <w:tc>
          <w:tcPr>
            <w:tcW w:type="dxa" w:w="2556"/>
            <w:vAlign w:val="center"/>
            <w:tcMar>
              <w:top w:w="90" w:type="dxa"/>
              <w:start w:w="90" w:type="dxa"/>
              <w:bottom w:w="90" w:type="dxa"/>
              <w:end w:w="90" w:type="dxa"/>
            </w:tcMar>
          </w:tcPr>
          <w:p>
            <w:pPr>
              <w:spacing w:after="40" w:before="40"/>
            </w:pPr>
            <w:r>
              <w:rPr>
                <w:rFonts w:ascii="Aptos" w:hAnsi="Aptos"/>
                <w:sz w:val="17"/>
              </w:rPr>
              <w:t>Missing inventory volume cannot be assumed.</w:t>
            </w:r>
          </w:p>
        </w:tc>
        <w:tc>
          <w:tcPr>
            <w:tcW w:type="dxa" w:w="2556"/>
            <w:vAlign w:val="center"/>
            <w:tcMar>
              <w:top w:w="90" w:type="dxa"/>
              <w:start w:w="90" w:type="dxa"/>
              <w:bottom w:w="90" w:type="dxa"/>
              <w:end w:w="90" w:type="dxa"/>
            </w:tcMar>
          </w:tcPr>
          <w:p>
            <w:pPr>
              <w:spacing w:after="40" w:before="40"/>
            </w:pPr>
            <w:r>
              <w:rPr>
                <w:rFonts w:ascii="Aptos" w:hAnsi="Aptos"/>
                <w:sz w:val="17"/>
              </w:rPr>
              <w:t>INSUFFICIENT INFORMATION when available volume is missing.</w:t>
            </w:r>
          </w:p>
        </w:tc>
        <w:tc>
          <w:tcPr>
            <w:tcW w:type="dxa" w:w="2556"/>
            <w:vAlign w:val="center"/>
            <w:tcMar>
              <w:top w:w="90" w:type="dxa"/>
              <w:start w:w="90" w:type="dxa"/>
              <w:bottom w:w="90" w:type="dxa"/>
              <w:end w:w="90" w:type="dxa"/>
            </w:tcMar>
          </w:tcPr>
          <w:p>
            <w:pPr>
              <w:spacing w:after="40" w:before="40"/>
            </w:pPr>
            <w:r>
              <w:rPr>
                <w:rFonts w:ascii="Aptos" w:hAnsi="Aptos"/>
                <w:sz w:val="17"/>
              </w:rPr>
              <w:t>Available volume field</w:t>
            </w:r>
          </w:p>
        </w:tc>
      </w:tr>
    </w:tbl>
    <w:p/>
    <w:p>
      <w:pPr>
        <w:pStyle w:val="Heading1"/>
      </w:pPr>
      <w:r>
        <w:rPr>
          <w:rFonts w:ascii="Aptos Display" w:hAnsi="Aptos Display"/>
          <w:color w:val="1F4E79"/>
          <w:sz w:val="30"/>
        </w:rPr>
        <w:t>19. Deterministic Feasibility Logic for App Implementation</w:t>
      </w:r>
    </w:p>
    <w:tbl>
      <w:tblPr>
        <w:tblW w:type="auto" w:w="0"/>
        <w:jc w:val="center"/>
        <w:tblLook w:firstColumn="1" w:firstRow="1" w:lastColumn="0" w:lastRow="0" w:noHBand="0" w:noVBand="1" w:val="04A0"/>
      </w:tblPr>
      <w:tblGrid>
        <w:gridCol w:w="10224"/>
      </w:tblGrid>
      <w:tr>
        <w:tc>
          <w:tcPr>
            <w:tcW w:type="dxa" w:w="10224"/>
            <w:shd w:fill="F4F6F7"/>
            <w:tcMar>
              <w:top w:w="140" w:type="dxa"/>
              <w:start w:w="180" w:type="dxa"/>
              <w:bottom w:w="140" w:type="dxa"/>
              <w:end w:w="180" w:type="dxa"/>
            </w:tcMar>
          </w:tcPr>
          <w:p>
            <w:r>
              <w:rPr>
                <w:b/>
                <w:color w:val="1F4E79"/>
                <w:sz w:val="20"/>
              </w:rPr>
              <w:t>System Principle</w:t>
            </w:r>
          </w:p>
          <w:p>
            <w:pPr>
              <w:spacing w:before="80" w:after="0"/>
            </w:pPr>
            <w:r>
              <w:rPr>
                <w:sz w:val="18"/>
              </w:rPr>
              <w:t>The app should use deterministic rule checks to generate a verdict before any AI explanation is produced. The AI may summarize the deterministic result but should not invent concentration, volume, approval status, plate compatibility, seal type, incubation condition, or missing handling information.</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90" w:type="dxa"/>
              <w:start w:w="90" w:type="dxa"/>
              <w:bottom w:w="90" w:type="dxa"/>
              <w:end w:w="90" w:type="dxa"/>
            </w:tcMar>
            <w:shd w:fill="1F4E79"/>
          </w:tcPr>
          <w:p>
            <w:pPr>
              <w:spacing w:after="40" w:before="40"/>
            </w:pPr>
            <w:r>
              <w:rPr>
                <w:rFonts w:ascii="Aptos" w:hAnsi="Aptos"/>
                <w:b/>
                <w:color w:val="FFFFFF"/>
                <w:sz w:val="17"/>
              </w:rPr>
              <w:t>Input</w:t>
            </w:r>
          </w:p>
        </w:tc>
        <w:tc>
          <w:tcPr>
            <w:tcW w:type="dxa" w:w="3408"/>
            <w:vAlign w:val="center"/>
            <w:tcMar>
              <w:top w:w="90" w:type="dxa"/>
              <w:start w:w="90" w:type="dxa"/>
              <w:bottom w:w="90" w:type="dxa"/>
              <w:end w:w="90" w:type="dxa"/>
            </w:tcMar>
            <w:shd w:fill="1F4E79"/>
          </w:tcPr>
          <w:p>
            <w:pPr>
              <w:spacing w:after="40" w:before="40"/>
            </w:pPr>
            <w:r>
              <w:rPr>
                <w:rFonts w:ascii="Aptos" w:hAnsi="Aptos"/>
                <w:b/>
                <w:color w:val="FFFFFF"/>
                <w:sz w:val="17"/>
              </w:rPr>
              <w:t>Rule Engine Check</w:t>
            </w:r>
          </w:p>
        </w:tc>
        <w:tc>
          <w:tcPr>
            <w:tcW w:type="dxa" w:w="3408"/>
            <w:vAlign w:val="center"/>
            <w:tcMar>
              <w:top w:w="90" w:type="dxa"/>
              <w:start w:w="90" w:type="dxa"/>
              <w:bottom w:w="90" w:type="dxa"/>
              <w:end w:w="90" w:type="dxa"/>
            </w:tcMar>
            <w:shd w:fill="1F4E79"/>
          </w:tcPr>
          <w:p>
            <w:pPr>
              <w:spacing w:after="40" w:before="40"/>
            </w:pPr>
            <w:r>
              <w:rPr>
                <w:rFonts w:ascii="Aptos" w:hAnsi="Aptos"/>
                <w:b/>
                <w:color w:val="FFFFFF"/>
                <w:sz w:val="17"/>
              </w:rPr>
              <w:t>Output</w:t>
            </w:r>
          </w:p>
        </w:tc>
      </w:tr>
      <w:tr>
        <w:tc>
          <w:tcPr>
            <w:tcW w:type="dxa" w:w="3408"/>
            <w:vAlign w:val="center"/>
            <w:tcMar>
              <w:top w:w="90" w:type="dxa"/>
              <w:start w:w="90" w:type="dxa"/>
              <w:bottom w:w="90" w:type="dxa"/>
              <w:end w:w="90" w:type="dxa"/>
            </w:tcMar>
          </w:tcPr>
          <w:p>
            <w:pPr>
              <w:spacing w:after="40" w:before="40"/>
            </w:pPr>
            <w:r>
              <w:rPr>
                <w:rFonts w:ascii="Aptos" w:hAnsi="Aptos"/>
                <w:sz w:val="17"/>
              </w:rPr>
              <w:t>Compound ID</w:t>
            </w:r>
          </w:p>
        </w:tc>
        <w:tc>
          <w:tcPr>
            <w:tcW w:type="dxa" w:w="3408"/>
            <w:vAlign w:val="center"/>
            <w:tcMar>
              <w:top w:w="90" w:type="dxa"/>
              <w:start w:w="90" w:type="dxa"/>
              <w:bottom w:w="90" w:type="dxa"/>
              <w:end w:w="90" w:type="dxa"/>
            </w:tcMar>
          </w:tcPr>
          <w:p>
            <w:pPr>
              <w:spacing w:after="40" w:before="40"/>
            </w:pPr>
            <w:r>
              <w:rPr>
                <w:rFonts w:ascii="Aptos" w:hAnsi="Aptos"/>
                <w:sz w:val="17"/>
              </w:rPr>
              <w:t>Exists in inventory</w:t>
            </w:r>
          </w:p>
        </w:tc>
        <w:tc>
          <w:tcPr>
            <w:tcW w:type="dxa" w:w="3408"/>
            <w:vAlign w:val="center"/>
            <w:tcMar>
              <w:top w:w="90" w:type="dxa"/>
              <w:start w:w="90" w:type="dxa"/>
              <w:bottom w:w="90" w:type="dxa"/>
              <w:end w:w="90" w:type="dxa"/>
            </w:tcMar>
          </w:tcPr>
          <w:p>
            <w:pPr>
              <w:spacing w:after="40" w:before="40"/>
            </w:pPr>
            <w:r>
              <w:rPr>
                <w:rFonts w:ascii="Aptos" w:hAnsi="Aptos"/>
                <w:sz w:val="17"/>
              </w:rPr>
              <w:t>Pass or insufficient information</w:t>
            </w:r>
          </w:p>
        </w:tc>
      </w:tr>
      <w:tr>
        <w:tc>
          <w:tcPr>
            <w:tcW w:type="dxa" w:w="3408"/>
            <w:vAlign w:val="center"/>
            <w:tcMar>
              <w:top w:w="90" w:type="dxa"/>
              <w:start w:w="90" w:type="dxa"/>
              <w:bottom w:w="90" w:type="dxa"/>
              <w:end w:w="90" w:type="dxa"/>
            </w:tcMar>
          </w:tcPr>
          <w:p>
            <w:pPr>
              <w:spacing w:after="40" w:before="40"/>
            </w:pPr>
            <w:r>
              <w:rPr>
                <w:rFonts w:ascii="Aptos" w:hAnsi="Aptos"/>
                <w:sz w:val="17"/>
              </w:rPr>
              <w:t>Inventory Status</w:t>
            </w:r>
          </w:p>
        </w:tc>
        <w:tc>
          <w:tcPr>
            <w:tcW w:type="dxa" w:w="3408"/>
            <w:vAlign w:val="center"/>
            <w:tcMar>
              <w:top w:w="90" w:type="dxa"/>
              <w:start w:w="90" w:type="dxa"/>
              <w:bottom w:w="90" w:type="dxa"/>
              <w:end w:w="90" w:type="dxa"/>
            </w:tcMar>
          </w:tcPr>
          <w:p>
            <w:pPr>
              <w:spacing w:after="40" w:before="40"/>
            </w:pPr>
            <w:r>
              <w:rPr>
                <w:rFonts w:ascii="Aptos" w:hAnsi="Aptos"/>
                <w:sz w:val="17"/>
              </w:rPr>
              <w:t>Equals Available</w:t>
            </w:r>
          </w:p>
        </w:tc>
        <w:tc>
          <w:tcPr>
            <w:tcW w:type="dxa" w:w="3408"/>
            <w:vAlign w:val="center"/>
            <w:tcMar>
              <w:top w:w="90" w:type="dxa"/>
              <w:start w:w="90" w:type="dxa"/>
              <w:bottom w:w="90" w:type="dxa"/>
              <w:end w:w="90" w:type="dxa"/>
            </w:tcMar>
          </w:tcPr>
          <w:p>
            <w:pPr>
              <w:spacing w:after="40" w:before="40"/>
            </w:pPr>
            <w:r>
              <w:rPr>
                <w:rFonts w:ascii="Aptos" w:hAnsi="Aptos"/>
                <w:sz w:val="17"/>
              </w:rPr>
              <w:t>Pass or block</w:t>
            </w:r>
          </w:p>
        </w:tc>
      </w:tr>
      <w:tr>
        <w:tc>
          <w:tcPr>
            <w:tcW w:type="dxa" w:w="3408"/>
            <w:vAlign w:val="center"/>
            <w:tcMar>
              <w:top w:w="90" w:type="dxa"/>
              <w:start w:w="90" w:type="dxa"/>
              <w:bottom w:w="90" w:type="dxa"/>
              <w:end w:w="90" w:type="dxa"/>
            </w:tcMar>
          </w:tcPr>
          <w:p>
            <w:pPr>
              <w:spacing w:after="40" w:before="40"/>
            </w:pPr>
            <w:r>
              <w:rPr>
                <w:rFonts w:ascii="Aptos" w:hAnsi="Aptos"/>
                <w:sz w:val="17"/>
              </w:rPr>
              <w:t>Expiration Date</w:t>
            </w:r>
          </w:p>
        </w:tc>
        <w:tc>
          <w:tcPr>
            <w:tcW w:type="dxa" w:w="3408"/>
            <w:vAlign w:val="center"/>
            <w:tcMar>
              <w:top w:w="90" w:type="dxa"/>
              <w:start w:w="90" w:type="dxa"/>
              <w:bottom w:w="90" w:type="dxa"/>
              <w:end w:w="90" w:type="dxa"/>
            </w:tcMar>
          </w:tcPr>
          <w:p>
            <w:pPr>
              <w:spacing w:after="40" w:before="40"/>
            </w:pPr>
            <w:r>
              <w:rPr>
                <w:rFonts w:ascii="Aptos" w:hAnsi="Aptos"/>
                <w:sz w:val="17"/>
              </w:rPr>
              <w:t>Expiration &gt;= request date</w:t>
            </w:r>
          </w:p>
        </w:tc>
        <w:tc>
          <w:tcPr>
            <w:tcW w:type="dxa" w:w="3408"/>
            <w:vAlign w:val="center"/>
            <w:tcMar>
              <w:top w:w="90" w:type="dxa"/>
              <w:start w:w="90" w:type="dxa"/>
              <w:bottom w:w="90" w:type="dxa"/>
              <w:end w:w="90" w:type="dxa"/>
            </w:tcMar>
          </w:tcPr>
          <w:p>
            <w:pPr>
              <w:spacing w:after="40" w:before="40"/>
            </w:pPr>
            <w:r>
              <w:rPr>
                <w:rFonts w:ascii="Aptos" w:hAnsi="Aptos"/>
                <w:sz w:val="17"/>
              </w:rPr>
              <w:t>Pass, block, or insufficient information</w:t>
            </w:r>
          </w:p>
        </w:tc>
      </w:tr>
      <w:tr>
        <w:tc>
          <w:tcPr>
            <w:tcW w:type="dxa" w:w="3408"/>
            <w:vAlign w:val="center"/>
            <w:tcMar>
              <w:top w:w="90" w:type="dxa"/>
              <w:start w:w="90" w:type="dxa"/>
              <w:bottom w:w="90" w:type="dxa"/>
              <w:end w:w="90" w:type="dxa"/>
            </w:tcMar>
          </w:tcPr>
          <w:p>
            <w:pPr>
              <w:spacing w:after="40" w:before="40"/>
            </w:pPr>
            <w:r>
              <w:rPr>
                <w:rFonts w:ascii="Aptos" w:hAnsi="Aptos"/>
                <w:sz w:val="17"/>
              </w:rPr>
              <w:t>Freeze-Thaw Count</w:t>
            </w:r>
          </w:p>
        </w:tc>
        <w:tc>
          <w:tcPr>
            <w:tcW w:type="dxa" w:w="3408"/>
            <w:vAlign w:val="center"/>
            <w:tcMar>
              <w:top w:w="90" w:type="dxa"/>
              <w:start w:w="90" w:type="dxa"/>
              <w:bottom w:w="90" w:type="dxa"/>
              <w:end w:w="90" w:type="dxa"/>
            </w:tcMar>
          </w:tcPr>
          <w:p>
            <w:pPr>
              <w:spacing w:after="40" w:before="40"/>
            </w:pPr>
            <w:r>
              <w:rPr>
                <w:rFonts w:ascii="Aptos" w:hAnsi="Aptos"/>
                <w:sz w:val="17"/>
              </w:rPr>
              <w:t>Count &lt;= 4</w:t>
            </w:r>
          </w:p>
        </w:tc>
        <w:tc>
          <w:tcPr>
            <w:tcW w:type="dxa" w:w="3408"/>
            <w:vAlign w:val="center"/>
            <w:tcMar>
              <w:top w:w="90" w:type="dxa"/>
              <w:start w:w="90" w:type="dxa"/>
              <w:bottom w:w="90" w:type="dxa"/>
              <w:end w:w="90" w:type="dxa"/>
            </w:tcMar>
          </w:tcPr>
          <w:p>
            <w:pPr>
              <w:spacing w:after="40" w:before="40"/>
            </w:pPr>
            <w:r>
              <w:rPr>
                <w:rFonts w:ascii="Aptos" w:hAnsi="Aptos"/>
                <w:sz w:val="17"/>
              </w:rPr>
              <w:t>Pass, block, or insufficient information</w:t>
            </w:r>
          </w:p>
        </w:tc>
      </w:tr>
      <w:tr>
        <w:tc>
          <w:tcPr>
            <w:tcW w:type="dxa" w:w="3408"/>
            <w:vAlign w:val="center"/>
            <w:tcMar>
              <w:top w:w="90" w:type="dxa"/>
              <w:start w:w="90" w:type="dxa"/>
              <w:bottom w:w="90" w:type="dxa"/>
              <w:end w:w="90" w:type="dxa"/>
            </w:tcMar>
          </w:tcPr>
          <w:p>
            <w:pPr>
              <w:spacing w:after="40" w:before="40"/>
            </w:pPr>
            <w:r>
              <w:rPr>
                <w:rFonts w:ascii="Aptos" w:hAnsi="Aptos"/>
                <w:sz w:val="17"/>
              </w:rPr>
              <w:t>Available Volume</w:t>
            </w:r>
          </w:p>
        </w:tc>
        <w:tc>
          <w:tcPr>
            <w:tcW w:type="dxa" w:w="3408"/>
            <w:vAlign w:val="center"/>
            <w:tcMar>
              <w:top w:w="90" w:type="dxa"/>
              <w:start w:w="90" w:type="dxa"/>
              <w:bottom w:w="90" w:type="dxa"/>
              <w:end w:w="90" w:type="dxa"/>
            </w:tcMar>
          </w:tcPr>
          <w:p>
            <w:pPr>
              <w:spacing w:after="40" w:before="40"/>
            </w:pPr>
            <w:r>
              <w:rPr>
                <w:rFonts w:ascii="Aptos" w:hAnsi="Aptos"/>
                <w:sz w:val="17"/>
              </w:rPr>
              <w:t>Available - 10 uL residual &gt;= required</w:t>
            </w:r>
          </w:p>
        </w:tc>
        <w:tc>
          <w:tcPr>
            <w:tcW w:type="dxa" w:w="3408"/>
            <w:vAlign w:val="center"/>
            <w:tcMar>
              <w:top w:w="90" w:type="dxa"/>
              <w:start w:w="90" w:type="dxa"/>
              <w:bottom w:w="90" w:type="dxa"/>
              <w:end w:w="90" w:type="dxa"/>
            </w:tcMar>
          </w:tcPr>
          <w:p>
            <w:pPr>
              <w:spacing w:after="40" w:before="40"/>
            </w:pPr>
            <w:r>
              <w:rPr>
                <w:rFonts w:ascii="Aptos" w:hAnsi="Aptos"/>
                <w:sz w:val="17"/>
              </w:rPr>
              <w:t>Pass or block</w:t>
            </w:r>
          </w:p>
        </w:tc>
      </w:tr>
      <w:tr>
        <w:tc>
          <w:tcPr>
            <w:tcW w:type="dxa" w:w="3408"/>
            <w:vAlign w:val="center"/>
            <w:tcMar>
              <w:top w:w="90" w:type="dxa"/>
              <w:start w:w="90" w:type="dxa"/>
              <w:bottom w:w="90" w:type="dxa"/>
              <w:end w:w="90" w:type="dxa"/>
            </w:tcMar>
          </w:tcPr>
          <w:p>
            <w:pPr>
              <w:spacing w:after="40" w:before="40"/>
            </w:pPr>
            <w:r>
              <w:rPr>
                <w:rFonts w:ascii="Aptos" w:hAnsi="Aptos"/>
                <w:sz w:val="17"/>
              </w:rPr>
              <w:t>Solvent</w:t>
            </w:r>
          </w:p>
        </w:tc>
        <w:tc>
          <w:tcPr>
            <w:tcW w:type="dxa" w:w="3408"/>
            <w:vAlign w:val="center"/>
            <w:tcMar>
              <w:top w:w="90" w:type="dxa"/>
              <w:start w:w="90" w:type="dxa"/>
              <w:bottom w:w="90" w:type="dxa"/>
              <w:end w:w="90" w:type="dxa"/>
            </w:tcMar>
          </w:tcPr>
          <w:p>
            <w:pPr>
              <w:spacing w:after="40" w:before="40"/>
            </w:pPr>
            <w:r>
              <w:rPr>
                <w:rFonts w:ascii="Aptos" w:hAnsi="Aptos"/>
                <w:sz w:val="17"/>
              </w:rPr>
              <w:t>Apply solvent-specific rule set</w:t>
            </w:r>
          </w:p>
        </w:tc>
        <w:tc>
          <w:tcPr>
            <w:tcW w:type="dxa" w:w="3408"/>
            <w:vAlign w:val="center"/>
            <w:tcMar>
              <w:top w:w="90" w:type="dxa"/>
              <w:start w:w="90" w:type="dxa"/>
              <w:bottom w:w="90" w:type="dxa"/>
              <w:end w:w="90" w:type="dxa"/>
            </w:tcMar>
          </w:tcPr>
          <w:p>
            <w:pPr>
              <w:spacing w:after="40" w:before="40"/>
            </w:pPr>
            <w:r>
              <w:rPr>
                <w:rFonts w:ascii="Aptos" w:hAnsi="Aptos"/>
                <w:sz w:val="17"/>
              </w:rPr>
              <w:t>Pass, warning, block</w:t>
            </w:r>
          </w:p>
        </w:tc>
      </w:tr>
      <w:tr>
        <w:tc>
          <w:tcPr>
            <w:tcW w:type="dxa" w:w="3408"/>
            <w:vAlign w:val="center"/>
            <w:tcMar>
              <w:top w:w="90" w:type="dxa"/>
              <w:start w:w="90" w:type="dxa"/>
              <w:bottom w:w="90" w:type="dxa"/>
              <w:end w:w="90" w:type="dxa"/>
            </w:tcMar>
          </w:tcPr>
          <w:p>
            <w:pPr>
              <w:spacing w:after="40" w:before="40"/>
            </w:pPr>
            <w:r>
              <w:rPr>
                <w:rFonts w:ascii="Aptos" w:hAnsi="Aptos"/>
                <w:sz w:val="17"/>
              </w:rPr>
              <w:t>Plate Type</w:t>
            </w:r>
          </w:p>
        </w:tc>
        <w:tc>
          <w:tcPr>
            <w:tcW w:type="dxa" w:w="3408"/>
            <w:vAlign w:val="center"/>
            <w:tcMar>
              <w:top w:w="90" w:type="dxa"/>
              <w:start w:w="90" w:type="dxa"/>
              <w:bottom w:w="90" w:type="dxa"/>
              <w:end w:w="90" w:type="dxa"/>
            </w:tcMar>
          </w:tcPr>
          <w:p>
            <w:pPr>
              <w:spacing w:after="40" w:before="40"/>
            </w:pPr>
            <w:r>
              <w:rPr>
                <w:rFonts w:ascii="Aptos" w:hAnsi="Aptos"/>
                <w:sz w:val="17"/>
              </w:rPr>
              <w:t>Compatible with storage, seal, and heat exposure request</w:t>
            </w:r>
          </w:p>
        </w:tc>
        <w:tc>
          <w:tcPr>
            <w:tcW w:type="dxa" w:w="3408"/>
            <w:vAlign w:val="center"/>
            <w:tcMar>
              <w:top w:w="90" w:type="dxa"/>
              <w:start w:w="90" w:type="dxa"/>
              <w:bottom w:w="90" w:type="dxa"/>
              <w:end w:w="90" w:type="dxa"/>
            </w:tcMar>
          </w:tcPr>
          <w:p>
            <w:pPr>
              <w:spacing w:after="40" w:before="40"/>
            </w:pPr>
            <w:r>
              <w:rPr>
                <w:rFonts w:ascii="Aptos" w:hAnsi="Aptos"/>
                <w:sz w:val="17"/>
              </w:rPr>
              <w:t>Pass, warning, block, or insufficient information</w:t>
            </w:r>
          </w:p>
        </w:tc>
      </w:tr>
      <w:tr>
        <w:tc>
          <w:tcPr>
            <w:tcW w:type="dxa" w:w="3408"/>
            <w:vAlign w:val="center"/>
            <w:tcMar>
              <w:top w:w="90" w:type="dxa"/>
              <w:start w:w="90" w:type="dxa"/>
              <w:bottom w:w="90" w:type="dxa"/>
              <w:end w:w="90" w:type="dxa"/>
            </w:tcMar>
          </w:tcPr>
          <w:p>
            <w:pPr>
              <w:spacing w:after="40" w:before="40"/>
            </w:pPr>
            <w:r>
              <w:rPr>
                <w:rFonts w:ascii="Aptos" w:hAnsi="Aptos"/>
                <w:sz w:val="17"/>
              </w:rPr>
              <w:t>Seal Type</w:t>
            </w:r>
          </w:p>
        </w:tc>
        <w:tc>
          <w:tcPr>
            <w:tcW w:type="dxa" w:w="3408"/>
            <w:vAlign w:val="center"/>
            <w:tcMar>
              <w:top w:w="90" w:type="dxa"/>
              <w:start w:w="90" w:type="dxa"/>
              <w:bottom w:w="90" w:type="dxa"/>
              <w:end w:w="90" w:type="dxa"/>
            </w:tcMar>
          </w:tcPr>
          <w:p>
            <w:pPr>
              <w:spacing w:after="40" w:before="40"/>
            </w:pPr>
            <w:r>
              <w:rPr>
                <w:rFonts w:ascii="Aptos" w:hAnsi="Aptos"/>
                <w:sz w:val="17"/>
              </w:rPr>
              <w:t>Compatible with solvent and plate type</w:t>
            </w:r>
          </w:p>
        </w:tc>
        <w:tc>
          <w:tcPr>
            <w:tcW w:type="dxa" w:w="3408"/>
            <w:vAlign w:val="center"/>
            <w:tcMar>
              <w:top w:w="90" w:type="dxa"/>
              <w:start w:w="90" w:type="dxa"/>
              <w:bottom w:w="90" w:type="dxa"/>
              <w:end w:w="90" w:type="dxa"/>
            </w:tcMar>
          </w:tcPr>
          <w:p>
            <w:pPr>
              <w:spacing w:after="40" w:before="40"/>
            </w:pPr>
            <w:r>
              <w:rPr>
                <w:rFonts w:ascii="Aptos" w:hAnsi="Aptos"/>
                <w:sz w:val="17"/>
              </w:rPr>
              <w:t>Pass, warning, block</w:t>
            </w:r>
          </w:p>
        </w:tc>
      </w:tr>
      <w:tr>
        <w:tc>
          <w:tcPr>
            <w:tcW w:type="dxa" w:w="3408"/>
            <w:vAlign w:val="center"/>
            <w:tcMar>
              <w:top w:w="90" w:type="dxa"/>
              <w:start w:w="90" w:type="dxa"/>
              <w:bottom w:w="90" w:type="dxa"/>
              <w:end w:w="90" w:type="dxa"/>
            </w:tcMar>
          </w:tcPr>
          <w:p>
            <w:pPr>
              <w:spacing w:after="40" w:before="40"/>
            </w:pPr>
            <w:r>
              <w:rPr>
                <w:rFonts w:ascii="Aptos" w:hAnsi="Aptos"/>
                <w:sz w:val="17"/>
              </w:rPr>
              <w:t>Storage / Incubation</w:t>
            </w:r>
          </w:p>
        </w:tc>
        <w:tc>
          <w:tcPr>
            <w:tcW w:type="dxa" w:w="3408"/>
            <w:vAlign w:val="center"/>
            <w:tcMar>
              <w:top w:w="90" w:type="dxa"/>
              <w:start w:w="90" w:type="dxa"/>
              <w:bottom w:w="90" w:type="dxa"/>
              <w:end w:w="90" w:type="dxa"/>
            </w:tcMar>
          </w:tcPr>
          <w:p>
            <w:pPr>
              <w:spacing w:after="40" w:before="40"/>
            </w:pPr>
            <w:r>
              <w:rPr>
                <w:rFonts w:ascii="Aptos" w:hAnsi="Aptos"/>
                <w:sz w:val="17"/>
              </w:rPr>
              <w:t>Temperature and duration documented and appropriate</w:t>
            </w:r>
          </w:p>
        </w:tc>
        <w:tc>
          <w:tcPr>
            <w:tcW w:type="dxa" w:w="3408"/>
            <w:vAlign w:val="center"/>
            <w:tcMar>
              <w:top w:w="90" w:type="dxa"/>
              <w:start w:w="90" w:type="dxa"/>
              <w:bottom w:w="90" w:type="dxa"/>
              <w:end w:w="90" w:type="dxa"/>
            </w:tcMar>
          </w:tcPr>
          <w:p>
            <w:pPr>
              <w:spacing w:after="40" w:before="40"/>
            </w:pPr>
            <w:r>
              <w:rPr>
                <w:rFonts w:ascii="Aptos" w:hAnsi="Aptos"/>
                <w:sz w:val="17"/>
              </w:rPr>
              <w:t>Pass, warning, block, or insufficient information</w:t>
            </w:r>
          </w:p>
        </w:tc>
      </w:tr>
      <w:tr>
        <w:tc>
          <w:tcPr>
            <w:tcW w:type="dxa" w:w="3408"/>
            <w:vAlign w:val="center"/>
            <w:tcMar>
              <w:top w:w="90" w:type="dxa"/>
              <w:start w:w="90" w:type="dxa"/>
              <w:bottom w:w="90" w:type="dxa"/>
              <w:end w:w="90" w:type="dxa"/>
            </w:tcMar>
          </w:tcPr>
          <w:p>
            <w:pPr>
              <w:spacing w:after="40" w:before="40"/>
            </w:pPr>
            <w:r>
              <w:rPr>
                <w:rFonts w:ascii="Aptos" w:hAnsi="Aptos"/>
                <w:sz w:val="17"/>
              </w:rPr>
              <w:t>Transport</w:t>
            </w:r>
          </w:p>
        </w:tc>
        <w:tc>
          <w:tcPr>
            <w:tcW w:type="dxa" w:w="3408"/>
            <w:vAlign w:val="center"/>
            <w:tcMar>
              <w:top w:w="90" w:type="dxa"/>
              <w:start w:w="90" w:type="dxa"/>
              <w:bottom w:w="90" w:type="dxa"/>
              <w:end w:w="90" w:type="dxa"/>
            </w:tcMar>
          </w:tcPr>
          <w:p>
            <w:pPr>
              <w:spacing w:after="40" w:before="40"/>
            </w:pPr>
            <w:r>
              <w:rPr>
                <w:rFonts w:ascii="Aptos" w:hAnsi="Aptos"/>
                <w:sz w:val="17"/>
              </w:rPr>
              <w:t>Seal, temperature, and chain-of-custody documented</w:t>
            </w:r>
          </w:p>
        </w:tc>
        <w:tc>
          <w:tcPr>
            <w:tcW w:type="dxa" w:w="3408"/>
            <w:vAlign w:val="center"/>
            <w:tcMar>
              <w:top w:w="90" w:type="dxa"/>
              <w:start w:w="90" w:type="dxa"/>
              <w:bottom w:w="90" w:type="dxa"/>
              <w:end w:w="90" w:type="dxa"/>
            </w:tcMar>
          </w:tcPr>
          <w:p>
            <w:pPr>
              <w:spacing w:after="40" w:before="40"/>
            </w:pPr>
            <w:r>
              <w:rPr>
                <w:rFonts w:ascii="Aptos" w:hAnsi="Aptos"/>
                <w:sz w:val="17"/>
              </w:rPr>
              <w:t>Pass, warning, block, or insufficient information</w:t>
            </w:r>
          </w:p>
        </w:tc>
      </w:tr>
    </w:tbl>
    <w:p>
      <w:pPr>
        <w:pStyle w:val="Heading1"/>
      </w:pPr>
      <w:r>
        <w:rPr>
          <w:rFonts w:ascii="Aptos Display" w:hAnsi="Aptos Display"/>
          <w:color w:val="1F4E79"/>
          <w:sz w:val="30"/>
        </w:rPr>
        <w:t>20. Scientist-Facing Output Template</w:t>
      </w:r>
    </w:p>
    <w:p>
      <w:r>
        <w:t>The CompoundOps Assistant should present feasibility outputs in a concise, evidence-based format:</w:t>
      </w:r>
    </w:p>
    <w:p>
      <w:pPr>
        <w:pStyle w:val="ListBullet"/>
      </w:pPr>
      <w:r>
        <w:t>Compound ID and solvent</w:t>
      </w:r>
    </w:p>
    <w:p>
      <w:pPr>
        <w:pStyle w:val="ListBullet"/>
      </w:pPr>
      <w:r>
        <w:t>Inventory status and location</w:t>
      </w:r>
    </w:p>
    <w:p>
      <w:pPr>
        <w:pStyle w:val="ListBullet"/>
      </w:pPr>
      <w:r>
        <w:t>Freeze-thaw count and rule result</w:t>
      </w:r>
    </w:p>
    <w:p>
      <w:pPr>
        <w:pStyle w:val="ListBullet"/>
      </w:pPr>
      <w:r>
        <w:t>Available, residual, usable, and required volume</w:t>
      </w:r>
    </w:p>
    <w:p>
      <w:pPr>
        <w:pStyle w:val="ListBullet"/>
      </w:pPr>
      <w:r>
        <w:t>Expiration result</w:t>
      </w:r>
    </w:p>
    <w:p>
      <w:pPr>
        <w:pStyle w:val="ListBullet"/>
      </w:pPr>
      <w:r>
        <w:t>Solvent-specific warnings or blocks</w:t>
      </w:r>
    </w:p>
    <w:p>
      <w:pPr>
        <w:pStyle w:val="ListBullet"/>
      </w:pPr>
      <w:r>
        <w:t>Plate type, seal type, storage, heat exposure, incubation, or transport condition when applicable</w:t>
      </w:r>
    </w:p>
    <w:p>
      <w:pPr>
        <w:pStyle w:val="ListBullet"/>
      </w:pPr>
      <w:r>
        <w:t>Final verdict: FEASIBLE, FEASIBLE WITH WARNING, NOT FEASIBLE, or INSUFFICIENT INFORMATION</w:t>
      </w:r>
    </w:p>
    <w:p>
      <w:pPr>
        <w:pStyle w:val="ListBullet"/>
      </w:pPr>
      <w:r>
        <w:t>Recommended corrective action</w:t>
      </w:r>
    </w:p>
    <w:p>
      <w:pPr>
        <w:pStyle w:val="Heading1"/>
      </w:pPr>
      <w:r>
        <w:rPr>
          <w:rFonts w:ascii="Aptos Display" w:hAnsi="Aptos Display"/>
          <w:color w:val="1F4E79"/>
          <w:sz w:val="30"/>
        </w:rPr>
        <w:t>21. Example Feasibility Output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90" w:type="dxa"/>
              <w:start w:w="90" w:type="dxa"/>
              <w:bottom w:w="90" w:type="dxa"/>
              <w:end w:w="90" w:type="dxa"/>
            </w:tcMar>
            <w:shd w:fill="1F4E79"/>
          </w:tcPr>
          <w:p>
            <w:pPr>
              <w:spacing w:after="40" w:before="40"/>
            </w:pPr>
            <w:r>
              <w:rPr>
                <w:rFonts w:ascii="Aptos" w:hAnsi="Aptos"/>
                <w:b/>
                <w:color w:val="FFFFFF"/>
                <w:sz w:val="17"/>
              </w:rPr>
              <w:t>Field</w:t>
            </w:r>
          </w:p>
        </w:tc>
        <w:tc>
          <w:tcPr>
            <w:tcW w:type="dxa" w:w="5112"/>
            <w:vAlign w:val="center"/>
            <w:tcMar>
              <w:top w:w="90" w:type="dxa"/>
              <w:start w:w="90" w:type="dxa"/>
              <w:bottom w:w="90" w:type="dxa"/>
              <w:end w:w="90" w:type="dxa"/>
            </w:tcMar>
            <w:shd w:fill="1F4E79"/>
          </w:tcPr>
          <w:p>
            <w:pPr>
              <w:spacing w:after="40" w:before="40"/>
            </w:pPr>
            <w:r>
              <w:rPr>
                <w:rFonts w:ascii="Aptos" w:hAnsi="Aptos"/>
                <w:b/>
                <w:color w:val="FFFFFF"/>
                <w:sz w:val="17"/>
              </w:rPr>
              <w:t>Example Output</w:t>
            </w:r>
          </w:p>
        </w:tc>
      </w:tr>
      <w:tr>
        <w:tc>
          <w:tcPr>
            <w:tcW w:type="dxa" w:w="5112"/>
            <w:vAlign w:val="center"/>
            <w:tcMar>
              <w:top w:w="90" w:type="dxa"/>
              <w:start w:w="90" w:type="dxa"/>
              <w:bottom w:w="90" w:type="dxa"/>
              <w:end w:w="90" w:type="dxa"/>
            </w:tcMar>
          </w:tcPr>
          <w:p>
            <w:pPr>
              <w:spacing w:after="40" w:before="40"/>
            </w:pPr>
            <w:r>
              <w:rPr>
                <w:rFonts w:ascii="Aptos" w:hAnsi="Aptos"/>
                <w:sz w:val="17"/>
              </w:rPr>
              <w:t>Compound ID</w:t>
            </w:r>
          </w:p>
        </w:tc>
        <w:tc>
          <w:tcPr>
            <w:tcW w:type="dxa" w:w="5112"/>
            <w:vAlign w:val="center"/>
            <w:tcMar>
              <w:top w:w="90" w:type="dxa"/>
              <w:start w:w="90" w:type="dxa"/>
              <w:bottom w:w="90" w:type="dxa"/>
              <w:end w:w="90" w:type="dxa"/>
            </w:tcMar>
          </w:tcPr>
          <w:p>
            <w:pPr>
              <w:spacing w:after="40" w:before="40"/>
            </w:pPr>
            <w:r>
              <w:rPr>
                <w:rFonts w:ascii="Aptos" w:hAnsi="Aptos"/>
                <w:sz w:val="17"/>
              </w:rPr>
              <w:t>CMPD-2051</w:t>
            </w:r>
          </w:p>
        </w:tc>
      </w:tr>
      <w:tr>
        <w:tc>
          <w:tcPr>
            <w:tcW w:type="dxa" w:w="5112"/>
            <w:vAlign w:val="center"/>
            <w:tcMar>
              <w:top w:w="90" w:type="dxa"/>
              <w:start w:w="90" w:type="dxa"/>
              <w:bottom w:w="90" w:type="dxa"/>
              <w:end w:w="90" w:type="dxa"/>
            </w:tcMar>
          </w:tcPr>
          <w:p>
            <w:pPr>
              <w:spacing w:after="40" w:before="40"/>
            </w:pPr>
            <w:r>
              <w:rPr>
                <w:rFonts w:ascii="Aptos" w:hAnsi="Aptos"/>
                <w:sz w:val="17"/>
              </w:rPr>
              <w:t>Solvent</w:t>
            </w:r>
          </w:p>
        </w:tc>
        <w:tc>
          <w:tcPr>
            <w:tcW w:type="dxa" w:w="5112"/>
            <w:vAlign w:val="center"/>
            <w:tcMar>
              <w:top w:w="90" w:type="dxa"/>
              <w:start w:w="90" w:type="dxa"/>
              <w:bottom w:w="90" w:type="dxa"/>
              <w:end w:w="90" w:type="dxa"/>
            </w:tcMar>
          </w:tcPr>
          <w:p>
            <w:pPr>
              <w:spacing w:after="40" w:before="40"/>
            </w:pPr>
            <w:r>
              <w:rPr>
                <w:rFonts w:ascii="Aptos" w:hAnsi="Aptos"/>
                <w:sz w:val="17"/>
              </w:rPr>
              <w:t>DMSO</w:t>
            </w:r>
          </w:p>
        </w:tc>
      </w:tr>
      <w:tr>
        <w:tc>
          <w:tcPr>
            <w:tcW w:type="dxa" w:w="5112"/>
            <w:vAlign w:val="center"/>
            <w:tcMar>
              <w:top w:w="90" w:type="dxa"/>
              <w:start w:w="90" w:type="dxa"/>
              <w:bottom w:w="90" w:type="dxa"/>
              <w:end w:w="90" w:type="dxa"/>
            </w:tcMar>
          </w:tcPr>
          <w:p>
            <w:pPr>
              <w:spacing w:after="40" w:before="40"/>
            </w:pPr>
            <w:r>
              <w:rPr>
                <w:rFonts w:ascii="Aptos" w:hAnsi="Aptos"/>
                <w:sz w:val="17"/>
              </w:rPr>
              <w:t>Plate Type</w:t>
            </w:r>
          </w:p>
        </w:tc>
        <w:tc>
          <w:tcPr>
            <w:tcW w:type="dxa" w:w="5112"/>
            <w:vAlign w:val="center"/>
            <w:tcMar>
              <w:top w:w="90" w:type="dxa"/>
              <w:start w:w="90" w:type="dxa"/>
              <w:bottom w:w="90" w:type="dxa"/>
              <w:end w:w="90" w:type="dxa"/>
            </w:tcMar>
          </w:tcPr>
          <w:p>
            <w:pPr>
              <w:spacing w:after="40" w:before="40"/>
            </w:pPr>
            <w:r>
              <w:rPr>
                <w:rFonts w:ascii="Aptos" w:hAnsi="Aptos"/>
                <w:sz w:val="17"/>
              </w:rPr>
              <w:t>384 source plate</w:t>
            </w:r>
          </w:p>
        </w:tc>
      </w:tr>
      <w:tr>
        <w:tc>
          <w:tcPr>
            <w:tcW w:type="dxa" w:w="5112"/>
            <w:vAlign w:val="center"/>
            <w:tcMar>
              <w:top w:w="90" w:type="dxa"/>
              <w:start w:w="90" w:type="dxa"/>
              <w:bottom w:w="90" w:type="dxa"/>
              <w:end w:w="90" w:type="dxa"/>
            </w:tcMar>
          </w:tcPr>
          <w:p>
            <w:pPr>
              <w:spacing w:after="40" w:before="40"/>
            </w:pPr>
            <w:r>
              <w:rPr>
                <w:rFonts w:ascii="Aptos" w:hAnsi="Aptos"/>
                <w:sz w:val="17"/>
              </w:rPr>
              <w:t>Seal Type</w:t>
            </w:r>
          </w:p>
        </w:tc>
        <w:tc>
          <w:tcPr>
            <w:tcW w:type="dxa" w:w="5112"/>
            <w:vAlign w:val="center"/>
            <w:tcMar>
              <w:top w:w="90" w:type="dxa"/>
              <w:start w:w="90" w:type="dxa"/>
              <w:bottom w:w="90" w:type="dxa"/>
              <w:end w:w="90" w:type="dxa"/>
            </w:tcMar>
          </w:tcPr>
          <w:p>
            <w:pPr>
              <w:spacing w:after="40" w:before="40"/>
            </w:pPr>
            <w:r>
              <w:rPr>
                <w:rFonts w:ascii="Aptos" w:hAnsi="Aptos"/>
                <w:sz w:val="17"/>
              </w:rPr>
              <w:t>Solvent-resistant foil seal</w:t>
            </w:r>
          </w:p>
        </w:tc>
      </w:tr>
      <w:tr>
        <w:tc>
          <w:tcPr>
            <w:tcW w:type="dxa" w:w="5112"/>
            <w:vAlign w:val="center"/>
            <w:tcMar>
              <w:top w:w="90" w:type="dxa"/>
              <w:start w:w="90" w:type="dxa"/>
              <w:bottom w:w="90" w:type="dxa"/>
              <w:end w:w="90" w:type="dxa"/>
            </w:tcMar>
          </w:tcPr>
          <w:p>
            <w:pPr>
              <w:spacing w:after="40" w:before="40"/>
            </w:pPr>
            <w:r>
              <w:rPr>
                <w:rFonts w:ascii="Aptos" w:hAnsi="Aptos"/>
                <w:sz w:val="17"/>
              </w:rPr>
              <w:t>Storage Condition</w:t>
            </w:r>
          </w:p>
        </w:tc>
        <w:tc>
          <w:tcPr>
            <w:tcW w:type="dxa" w:w="5112"/>
            <w:vAlign w:val="center"/>
            <w:tcMar>
              <w:top w:w="90" w:type="dxa"/>
              <w:start w:w="90" w:type="dxa"/>
              <w:bottom w:w="90" w:type="dxa"/>
              <w:end w:w="90" w:type="dxa"/>
            </w:tcMar>
          </w:tcPr>
          <w:p>
            <w:pPr>
              <w:spacing w:after="40" w:before="40"/>
            </w:pPr>
            <w:r>
              <w:rPr>
                <w:rFonts w:ascii="Aptos" w:hAnsi="Aptos"/>
                <w:sz w:val="17"/>
              </w:rPr>
              <w:t>-20C frozen storage requested</w:t>
            </w:r>
          </w:p>
        </w:tc>
      </w:tr>
      <w:tr>
        <w:tc>
          <w:tcPr>
            <w:tcW w:type="dxa" w:w="5112"/>
            <w:vAlign w:val="center"/>
            <w:tcMar>
              <w:top w:w="90" w:type="dxa"/>
              <w:start w:w="90" w:type="dxa"/>
              <w:bottom w:w="90" w:type="dxa"/>
              <w:end w:w="90" w:type="dxa"/>
            </w:tcMar>
          </w:tcPr>
          <w:p>
            <w:pPr>
              <w:spacing w:after="40" w:before="40"/>
            </w:pPr>
            <w:r>
              <w:rPr>
                <w:rFonts w:ascii="Aptos" w:hAnsi="Aptos"/>
                <w:sz w:val="17"/>
              </w:rPr>
              <w:t>Inventory Status</w:t>
            </w:r>
          </w:p>
        </w:tc>
        <w:tc>
          <w:tcPr>
            <w:tcW w:type="dxa" w:w="5112"/>
            <w:vAlign w:val="center"/>
            <w:tcMar>
              <w:top w:w="90" w:type="dxa"/>
              <w:start w:w="90" w:type="dxa"/>
              <w:bottom w:w="90" w:type="dxa"/>
              <w:end w:w="90" w:type="dxa"/>
            </w:tcMar>
          </w:tcPr>
          <w:p>
            <w:pPr>
              <w:spacing w:after="40" w:before="40"/>
            </w:pPr>
            <w:r>
              <w:rPr>
                <w:rFonts w:ascii="Aptos" w:hAnsi="Aptos"/>
                <w:sz w:val="17"/>
              </w:rPr>
              <w:t>Available</w:t>
            </w:r>
          </w:p>
        </w:tc>
      </w:tr>
      <w:tr>
        <w:tc>
          <w:tcPr>
            <w:tcW w:type="dxa" w:w="5112"/>
            <w:vAlign w:val="center"/>
            <w:tcMar>
              <w:top w:w="90" w:type="dxa"/>
              <w:start w:w="90" w:type="dxa"/>
              <w:bottom w:w="90" w:type="dxa"/>
              <w:end w:w="90" w:type="dxa"/>
            </w:tcMar>
          </w:tcPr>
          <w:p>
            <w:pPr>
              <w:spacing w:after="40" w:before="40"/>
            </w:pPr>
            <w:r>
              <w:rPr>
                <w:rFonts w:ascii="Aptos" w:hAnsi="Aptos"/>
                <w:sz w:val="17"/>
              </w:rPr>
              <w:t>Freeze-Thaw</w:t>
            </w:r>
          </w:p>
        </w:tc>
        <w:tc>
          <w:tcPr>
            <w:tcW w:type="dxa" w:w="5112"/>
            <w:vAlign w:val="center"/>
            <w:tcMar>
              <w:top w:w="90" w:type="dxa"/>
              <w:start w:w="90" w:type="dxa"/>
              <w:bottom w:w="90" w:type="dxa"/>
              <w:end w:w="90" w:type="dxa"/>
            </w:tcMar>
          </w:tcPr>
          <w:p>
            <w:pPr>
              <w:spacing w:after="40" w:before="40"/>
            </w:pPr>
            <w:r>
              <w:rPr>
                <w:rFonts w:ascii="Aptos" w:hAnsi="Aptos"/>
                <w:sz w:val="17"/>
              </w:rPr>
              <w:t>8 cycles</w:t>
            </w:r>
          </w:p>
        </w:tc>
      </w:tr>
      <w:tr>
        <w:tc>
          <w:tcPr>
            <w:tcW w:type="dxa" w:w="5112"/>
            <w:vAlign w:val="center"/>
            <w:tcMar>
              <w:top w:w="90" w:type="dxa"/>
              <w:start w:w="90" w:type="dxa"/>
              <w:bottom w:w="90" w:type="dxa"/>
              <w:end w:w="90" w:type="dxa"/>
            </w:tcMar>
          </w:tcPr>
          <w:p>
            <w:pPr>
              <w:spacing w:after="40" w:before="40"/>
            </w:pPr>
            <w:r>
              <w:rPr>
                <w:rFonts w:ascii="Aptos" w:hAnsi="Aptos"/>
                <w:sz w:val="17"/>
              </w:rPr>
              <w:t>Available Volume</w:t>
            </w:r>
          </w:p>
        </w:tc>
        <w:tc>
          <w:tcPr>
            <w:tcW w:type="dxa" w:w="5112"/>
            <w:vAlign w:val="center"/>
            <w:tcMar>
              <w:top w:w="90" w:type="dxa"/>
              <w:start w:w="90" w:type="dxa"/>
              <w:bottom w:w="90" w:type="dxa"/>
              <w:end w:w="90" w:type="dxa"/>
            </w:tcMar>
          </w:tcPr>
          <w:p>
            <w:pPr>
              <w:spacing w:after="40" w:before="40"/>
            </w:pPr>
            <w:r>
              <w:rPr>
                <w:rFonts w:ascii="Aptos" w:hAnsi="Aptos"/>
                <w:sz w:val="17"/>
              </w:rPr>
              <w:t>13 uL</w:t>
            </w:r>
          </w:p>
        </w:tc>
      </w:tr>
      <w:tr>
        <w:tc>
          <w:tcPr>
            <w:tcW w:type="dxa" w:w="5112"/>
            <w:vAlign w:val="center"/>
            <w:tcMar>
              <w:top w:w="90" w:type="dxa"/>
              <w:start w:w="90" w:type="dxa"/>
              <w:bottom w:w="90" w:type="dxa"/>
              <w:end w:w="90" w:type="dxa"/>
            </w:tcMar>
          </w:tcPr>
          <w:p>
            <w:pPr>
              <w:spacing w:after="40" w:before="40"/>
            </w:pPr>
            <w:r>
              <w:rPr>
                <w:rFonts w:ascii="Aptos" w:hAnsi="Aptos"/>
                <w:sz w:val="17"/>
              </w:rPr>
              <w:t>Usable Volume</w:t>
            </w:r>
          </w:p>
        </w:tc>
        <w:tc>
          <w:tcPr>
            <w:tcW w:type="dxa" w:w="5112"/>
            <w:vAlign w:val="center"/>
            <w:tcMar>
              <w:top w:w="90" w:type="dxa"/>
              <w:start w:w="90" w:type="dxa"/>
              <w:bottom w:w="90" w:type="dxa"/>
              <w:end w:w="90" w:type="dxa"/>
            </w:tcMar>
          </w:tcPr>
          <w:p>
            <w:pPr>
              <w:spacing w:after="40" w:before="40"/>
            </w:pPr>
            <w:r>
              <w:rPr>
                <w:rFonts w:ascii="Aptos" w:hAnsi="Aptos"/>
                <w:sz w:val="17"/>
              </w:rPr>
              <w:t>3 uL after 10 uL residual</w:t>
            </w:r>
          </w:p>
        </w:tc>
      </w:tr>
      <w:tr>
        <w:tc>
          <w:tcPr>
            <w:tcW w:type="dxa" w:w="5112"/>
            <w:vAlign w:val="center"/>
            <w:tcMar>
              <w:top w:w="90" w:type="dxa"/>
              <w:start w:w="90" w:type="dxa"/>
              <w:bottom w:w="90" w:type="dxa"/>
              <w:end w:w="90" w:type="dxa"/>
            </w:tcMar>
          </w:tcPr>
          <w:p>
            <w:pPr>
              <w:spacing w:after="40" w:before="40"/>
            </w:pPr>
            <w:r>
              <w:rPr>
                <w:rFonts w:ascii="Aptos" w:hAnsi="Aptos"/>
                <w:sz w:val="17"/>
              </w:rPr>
              <w:t>SOP Results</w:t>
            </w:r>
          </w:p>
        </w:tc>
        <w:tc>
          <w:tcPr>
            <w:tcW w:type="dxa" w:w="5112"/>
            <w:vAlign w:val="center"/>
            <w:tcMar>
              <w:top w:w="90" w:type="dxa"/>
              <w:start w:w="90" w:type="dxa"/>
              <w:bottom w:w="90" w:type="dxa"/>
              <w:end w:w="90" w:type="dxa"/>
            </w:tcMar>
          </w:tcPr>
          <w:p>
            <w:pPr>
              <w:spacing w:after="40" w:before="40"/>
            </w:pPr>
            <w:r>
              <w:rPr>
                <w:rFonts w:ascii="Aptos" w:hAnsi="Aptos"/>
                <w:sz w:val="17"/>
              </w:rPr>
              <w:t>FT-001 BLOCK; VOL-001 BLOCK</w:t>
            </w:r>
          </w:p>
        </w:tc>
      </w:tr>
      <w:tr>
        <w:tc>
          <w:tcPr>
            <w:tcW w:type="dxa" w:w="5112"/>
            <w:vAlign w:val="center"/>
            <w:tcMar>
              <w:top w:w="90" w:type="dxa"/>
              <w:start w:w="90" w:type="dxa"/>
              <w:bottom w:w="90" w:type="dxa"/>
              <w:end w:w="90" w:type="dxa"/>
            </w:tcMar>
          </w:tcPr>
          <w:p>
            <w:pPr>
              <w:spacing w:after="40" w:before="40"/>
            </w:pPr>
            <w:r>
              <w:rPr>
                <w:rFonts w:ascii="Aptos" w:hAnsi="Aptos"/>
                <w:sz w:val="17"/>
              </w:rPr>
              <w:t>Final Verdict</w:t>
            </w:r>
          </w:p>
        </w:tc>
        <w:tc>
          <w:tcPr>
            <w:tcW w:type="dxa" w:w="5112"/>
            <w:vAlign w:val="center"/>
            <w:tcMar>
              <w:top w:w="90" w:type="dxa"/>
              <w:start w:w="90" w:type="dxa"/>
              <w:bottom w:w="90" w:type="dxa"/>
              <w:end w:w="90" w:type="dxa"/>
            </w:tcMar>
          </w:tcPr>
          <w:p>
            <w:pPr>
              <w:spacing w:after="40" w:before="40"/>
            </w:pPr>
            <w:r>
              <w:rPr>
                <w:rFonts w:ascii="Aptos" w:hAnsi="Aptos"/>
                <w:sz w:val="17"/>
              </w:rPr>
              <w:t>NOT FEASIBLE</w:t>
            </w:r>
          </w:p>
        </w:tc>
      </w:tr>
      <w:tr>
        <w:tc>
          <w:tcPr>
            <w:tcW w:type="dxa" w:w="5112"/>
            <w:vAlign w:val="center"/>
            <w:tcMar>
              <w:top w:w="90" w:type="dxa"/>
              <w:start w:w="90" w:type="dxa"/>
              <w:bottom w:w="90" w:type="dxa"/>
              <w:end w:w="90" w:type="dxa"/>
            </w:tcMar>
          </w:tcPr>
          <w:p>
            <w:pPr>
              <w:spacing w:after="40" w:before="40"/>
            </w:pPr>
            <w:r>
              <w:rPr>
                <w:rFonts w:ascii="Aptos" w:hAnsi="Aptos"/>
                <w:sz w:val="17"/>
              </w:rPr>
              <w:t>Recommendation</w:t>
            </w:r>
          </w:p>
        </w:tc>
        <w:tc>
          <w:tcPr>
            <w:tcW w:type="dxa" w:w="5112"/>
            <w:vAlign w:val="center"/>
            <w:tcMar>
              <w:top w:w="90" w:type="dxa"/>
              <w:start w:w="90" w:type="dxa"/>
              <w:bottom w:w="90" w:type="dxa"/>
              <w:end w:w="90" w:type="dxa"/>
            </w:tcMar>
          </w:tcPr>
          <w:p>
            <w:pPr>
              <w:spacing w:after="40" w:before="40"/>
            </w:pPr>
            <w:r>
              <w:rPr>
                <w:rFonts w:ascii="Aptos" w:hAnsi="Aptos"/>
                <w:sz w:val="17"/>
              </w:rPr>
              <w:t>Locate alternate vial or generate new stock solution before assay planning. Do not prepare a plate until a feasible source is identified.</w:t>
            </w:r>
          </w:p>
        </w:tc>
      </w:tr>
    </w:tbl>
    <w:p>
      <w:pPr>
        <w:pStyle w:val="Heading1"/>
      </w:pPr>
      <w:r>
        <w:rPr>
          <w:rFonts w:ascii="Aptos Display" w:hAnsi="Aptos Display"/>
          <w:color w:val="1F4E79"/>
          <w:sz w:val="30"/>
        </w:rPr>
        <w:t>22. Source Notes</w:t>
      </w:r>
    </w:p>
    <w:p>
      <w:r>
        <w:t>This training SOP was drafted for the CompoundOps Assistant MVP using the uploaded internal mock SOPs and general solvent-handling reference information gathered during the project discussion. It is intended for educational and prototype demonstration use only, not as a regulated laboratory procedure.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90" w:type="dxa"/>
              <w:start w:w="90" w:type="dxa"/>
              <w:bottom w:w="90" w:type="dxa"/>
              <w:end w:w="90" w:type="dxa"/>
            </w:tcMar>
            <w:shd w:fill="1F4E79"/>
          </w:tcPr>
          <w:p>
            <w:pPr>
              <w:spacing w:after="40" w:before="40"/>
            </w:pPr>
            <w:r>
              <w:rPr>
                <w:rFonts w:ascii="Aptos" w:hAnsi="Aptos"/>
                <w:b/>
                <w:color w:val="FFFFFF"/>
                <w:sz w:val="17"/>
              </w:rPr>
              <w:t>Source Area</w:t>
            </w:r>
          </w:p>
        </w:tc>
        <w:tc>
          <w:tcPr>
            <w:tcW w:type="dxa" w:w="5112"/>
            <w:vAlign w:val="center"/>
            <w:tcMar>
              <w:top w:w="90" w:type="dxa"/>
              <w:start w:w="90" w:type="dxa"/>
              <w:bottom w:w="90" w:type="dxa"/>
              <w:end w:w="90" w:type="dxa"/>
            </w:tcMar>
            <w:shd w:fill="1F4E79"/>
          </w:tcPr>
          <w:p>
            <w:pPr>
              <w:spacing w:after="40" w:before="40"/>
            </w:pPr>
            <w:r>
              <w:rPr>
                <w:rFonts w:ascii="Aptos" w:hAnsi="Aptos"/>
                <w:b/>
                <w:color w:val="FFFFFF"/>
                <w:sz w:val="17"/>
              </w:rPr>
              <w:t>Used For</w:t>
            </w:r>
          </w:p>
        </w:tc>
      </w:tr>
      <w:tr>
        <w:tc>
          <w:tcPr>
            <w:tcW w:type="dxa" w:w="5112"/>
            <w:vAlign w:val="center"/>
            <w:tcMar>
              <w:top w:w="90" w:type="dxa"/>
              <w:start w:w="90" w:type="dxa"/>
              <w:bottom w:w="90" w:type="dxa"/>
              <w:end w:w="90" w:type="dxa"/>
            </w:tcMar>
          </w:tcPr>
          <w:p>
            <w:pPr>
              <w:spacing w:after="40" w:before="40"/>
            </w:pPr>
            <w:r>
              <w:rPr>
                <w:rFonts w:ascii="Aptos" w:hAnsi="Aptos"/>
                <w:sz w:val="17"/>
              </w:rPr>
              <w:t>DMSO Limits and Solvent Handling SOP</w:t>
            </w:r>
          </w:p>
        </w:tc>
        <w:tc>
          <w:tcPr>
            <w:tcW w:type="dxa" w:w="5112"/>
            <w:vAlign w:val="center"/>
            <w:tcMar>
              <w:top w:w="90" w:type="dxa"/>
              <w:start w:w="90" w:type="dxa"/>
              <w:bottom w:w="90" w:type="dxa"/>
              <w:end w:w="90" w:type="dxa"/>
            </w:tcMar>
          </w:tcPr>
          <w:p>
            <w:pPr>
              <w:spacing w:after="40" w:before="40"/>
            </w:pPr>
            <w:r>
              <w:rPr>
                <w:rFonts w:ascii="Aptos" w:hAnsi="Aptos"/>
                <w:sz w:val="17"/>
              </w:rPr>
              <w:t>DMSO limits, vehicle controls, residual-volume mention, and AI guardrail framing</w:t>
            </w:r>
          </w:p>
        </w:tc>
      </w:tr>
      <w:tr>
        <w:tc>
          <w:tcPr>
            <w:tcW w:type="dxa" w:w="5112"/>
            <w:vAlign w:val="center"/>
            <w:tcMar>
              <w:top w:w="90" w:type="dxa"/>
              <w:start w:w="90" w:type="dxa"/>
              <w:bottom w:w="90" w:type="dxa"/>
              <w:end w:w="90" w:type="dxa"/>
            </w:tcMar>
          </w:tcPr>
          <w:p>
            <w:pPr>
              <w:spacing w:after="40" w:before="40"/>
            </w:pPr>
            <w:r>
              <w:rPr>
                <w:rFonts w:ascii="Aptos" w:hAnsi="Aptos"/>
                <w:sz w:val="17"/>
              </w:rPr>
              <w:t>Freeze-Thaw Control SOP</w:t>
            </w:r>
          </w:p>
        </w:tc>
        <w:tc>
          <w:tcPr>
            <w:tcW w:type="dxa" w:w="5112"/>
            <w:vAlign w:val="center"/>
            <w:tcMar>
              <w:top w:w="90" w:type="dxa"/>
              <w:start w:w="90" w:type="dxa"/>
              <w:bottom w:w="90" w:type="dxa"/>
              <w:end w:w="90" w:type="dxa"/>
            </w:tcMar>
          </w:tcPr>
          <w:p>
            <w:pPr>
              <w:spacing w:after="40" w:before="40"/>
            </w:pPr>
            <w:r>
              <w:rPr>
                <w:rFonts w:ascii="Aptos" w:hAnsi="Aptos"/>
                <w:sz w:val="17"/>
              </w:rPr>
              <w:t>Freeze-thaw block/pass logic and missing-count handling</w:t>
            </w:r>
          </w:p>
        </w:tc>
      </w:tr>
      <w:tr>
        <w:tc>
          <w:tcPr>
            <w:tcW w:type="dxa" w:w="5112"/>
            <w:vAlign w:val="center"/>
            <w:tcMar>
              <w:top w:w="90" w:type="dxa"/>
              <w:start w:w="90" w:type="dxa"/>
              <w:bottom w:w="90" w:type="dxa"/>
              <w:end w:w="90" w:type="dxa"/>
            </w:tcMar>
          </w:tcPr>
          <w:p>
            <w:pPr>
              <w:spacing w:after="40" w:before="40"/>
            </w:pPr>
            <w:r>
              <w:rPr>
                <w:rFonts w:ascii="Aptos" w:hAnsi="Aptos"/>
                <w:sz w:val="17"/>
              </w:rPr>
              <w:t>Compound Storage and Dispensing SOP</w:t>
            </w:r>
          </w:p>
        </w:tc>
        <w:tc>
          <w:tcPr>
            <w:tcW w:type="dxa" w:w="5112"/>
            <w:vAlign w:val="center"/>
            <w:tcMar>
              <w:top w:w="90" w:type="dxa"/>
              <w:start w:w="90" w:type="dxa"/>
              <w:bottom w:w="90" w:type="dxa"/>
              <w:end w:w="90" w:type="dxa"/>
            </w:tcMar>
          </w:tcPr>
          <w:p>
            <w:pPr>
              <w:spacing w:after="40" w:before="40"/>
            </w:pPr>
            <w:r>
              <w:rPr>
                <w:rFonts w:ascii="Aptos" w:hAnsi="Aptos"/>
                <w:sz w:val="17"/>
              </w:rPr>
              <w:t>Status, expiration, location, residual-volume, and feasibility logic</w:t>
            </w:r>
          </w:p>
        </w:tc>
      </w:tr>
      <w:tr>
        <w:tc>
          <w:tcPr>
            <w:tcW w:type="dxa" w:w="5112"/>
            <w:vAlign w:val="center"/>
            <w:tcMar>
              <w:top w:w="90" w:type="dxa"/>
              <w:start w:w="90" w:type="dxa"/>
              <w:bottom w:w="90" w:type="dxa"/>
              <w:end w:w="90" w:type="dxa"/>
            </w:tcMar>
          </w:tcPr>
          <w:p>
            <w:pPr>
              <w:spacing w:after="40" w:before="40"/>
            </w:pPr>
            <w:r>
              <w:rPr>
                <w:rFonts w:ascii="Aptos" w:hAnsi="Aptos"/>
                <w:sz w:val="17"/>
              </w:rPr>
              <w:t>General laboratory solvent safety references</w:t>
            </w:r>
          </w:p>
        </w:tc>
        <w:tc>
          <w:tcPr>
            <w:tcW w:type="dxa" w:w="5112"/>
            <w:vAlign w:val="center"/>
            <w:tcMar>
              <w:top w:w="90" w:type="dxa"/>
              <w:start w:w="90" w:type="dxa"/>
              <w:bottom w:w="90" w:type="dxa"/>
              <w:end w:w="90" w:type="dxa"/>
            </w:tcMar>
          </w:tcPr>
          <w:p>
            <w:pPr>
              <w:spacing w:after="40" w:before="40"/>
            </w:pPr>
            <w:r>
              <w:rPr>
                <w:rFonts w:ascii="Aptos" w:hAnsi="Aptos"/>
                <w:sz w:val="17"/>
              </w:rPr>
              <w:t>Volatility, flammability, and compatibility cautions for methanol, ethanol, and acetonitrile</w:t>
            </w:r>
          </w:p>
        </w:tc>
      </w:tr>
      <w:tr>
        <w:tc>
          <w:tcPr>
            <w:tcW w:type="dxa" w:w="5112"/>
            <w:vAlign w:val="center"/>
            <w:tcMar>
              <w:top w:w="90" w:type="dxa"/>
              <w:start w:w="90" w:type="dxa"/>
              <w:bottom w:w="90" w:type="dxa"/>
              <w:end w:w="90" w:type="dxa"/>
            </w:tcMar>
          </w:tcPr>
          <w:p>
            <w:pPr>
              <w:spacing w:after="40" w:before="40"/>
            </w:pPr>
            <w:r>
              <w:rPr>
                <w:rFonts w:ascii="Aptos" w:hAnsi="Aptos"/>
                <w:sz w:val="17"/>
              </w:rPr>
              <w:t>PBS/buffer reference information</w:t>
            </w:r>
          </w:p>
        </w:tc>
        <w:tc>
          <w:tcPr>
            <w:tcW w:type="dxa" w:w="5112"/>
            <w:vAlign w:val="center"/>
            <w:tcMar>
              <w:top w:w="90" w:type="dxa"/>
              <w:start w:w="90" w:type="dxa"/>
              <w:bottom w:w="90" w:type="dxa"/>
              <w:end w:w="90" w:type="dxa"/>
            </w:tcMar>
          </w:tcPr>
          <w:p>
            <w:pPr>
              <w:spacing w:after="40" w:before="40"/>
            </w:pPr>
            <w:r>
              <w:rPr>
                <w:rFonts w:ascii="Aptos" w:hAnsi="Aptos"/>
                <w:sz w:val="17"/>
              </w:rPr>
              <w:t>PBS clarity, storage, pH, and compatibility considerations</w:t>
            </w:r>
          </w:p>
        </w:tc>
      </w:tr>
      <w:tr>
        <w:tc>
          <w:tcPr>
            <w:tcW w:type="dxa" w:w="5112"/>
            <w:vAlign w:val="center"/>
            <w:tcMar>
              <w:top w:w="90" w:type="dxa"/>
              <w:start w:w="90" w:type="dxa"/>
              <w:bottom w:w="90" w:type="dxa"/>
              <w:end w:w="90" w:type="dxa"/>
            </w:tcMar>
          </w:tcPr>
          <w:p>
            <w:pPr>
              <w:spacing w:after="40" w:before="40"/>
            </w:pPr>
            <w:r>
              <w:rPr>
                <w:rFonts w:ascii="Aptos" w:hAnsi="Aptos"/>
                <w:sz w:val="17"/>
              </w:rPr>
              <w:t>User-provided plate lifecycle requirements</w:t>
            </w:r>
          </w:p>
        </w:tc>
        <w:tc>
          <w:tcPr>
            <w:tcW w:type="dxa" w:w="5112"/>
            <w:vAlign w:val="center"/>
            <w:tcMar>
              <w:top w:w="90" w:type="dxa"/>
              <w:start w:w="90" w:type="dxa"/>
              <w:bottom w:w="90" w:type="dxa"/>
              <w:end w:w="90" w:type="dxa"/>
            </w:tcMar>
          </w:tcPr>
          <w:p>
            <w:pPr>
              <w:spacing w:after="40" w:before="40"/>
            </w:pPr>
            <w:r>
              <w:rPr>
                <w:rFonts w:ascii="Aptos" w:hAnsi="Aptos"/>
                <w:sz w:val="17"/>
              </w:rPr>
              <w:t>Plate sealing, heat-seal review, storage, incubation, and transport sections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Compound Solvent Handling, Feasibility, Plate Sealing, and Storage SOP | Educational mock SOP | Not for regulated laboratory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Martone, Helen Chau</dc:creator>
  <keywords/>
  <dc:description>generated by python-docx</dc:description>
  <lastModifiedBy>Martone, Helen Chau</lastModifiedBy>
  <revision>1</revision>
  <dcterms:created xsi:type="dcterms:W3CDTF">2026-07-23T20:27:06.9206529Z</dcterms:created>
  <dcterms:modified xsi:type="dcterms:W3CDTF">2026-07-23T20:27:06.9206529Z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91b42f-c435-42ca-9531-75a3f42aae3d_Enabled">
    <vt:lpwstr>true</vt:lpwstr>
  </property>
  <property fmtid="{D5CDD505-2E9C-101B-9397-08002B2CF9AE}" pid="3" name="MSIP_Label_4791b42f-c435-42ca-9531-75a3f42aae3d_SetDate">
    <vt:lpwstr>2026-07-23T20:27:06Z</vt:lpwstr>
  </property>
  <property fmtid="{D5CDD505-2E9C-101B-9397-08002B2CF9AE}" pid="4" name="MSIP_Label_4791b42f-c435-42ca-9531-75a3f42aae3d_Method">
    <vt:lpwstr>Standard</vt:lpwstr>
  </property>
  <property fmtid="{D5CDD505-2E9C-101B-9397-08002B2CF9AE}" pid="5" name="MSIP_Label_4791b42f-c435-42ca-9531-75a3f42aae3d_Name">
    <vt:lpwstr>4791b42f-c435-42ca-9531-75a3f42aae3d</vt:lpwstr>
  </property>
  <property fmtid="{D5CDD505-2E9C-101B-9397-08002B2CF9AE}" pid="6" name="MSIP_Label_4791b42f-c435-42ca-9531-75a3f42aae3d_SiteId">
    <vt:lpwstr>7a916015-20ae-4ad1-9170-eefd915e9272</vt:lpwstr>
  </property>
  <property fmtid="{D5CDD505-2E9C-101B-9397-08002B2CF9AE}" pid="7" name="MSIP_Label_4791b42f-c435-42ca-9531-75a3f42aae3d_ActionId">
    <vt:lpwstr>c13f667f-ef81-46a0-8156-a91b557d3ab9</vt:lpwstr>
  </property>
  <property fmtid="{D5CDD505-2E9C-101B-9397-08002B2CF9AE}" pid="8" name="MSIP_Label_4791b42f-c435-42ca-9531-75a3f42aae3d_ContentBits">
    <vt:lpwstr>0</vt:lpwstr>
  </property>
</Properties>
</file>