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DMSO Limits and Solvent Handling SOP</w:t>
      </w:r>
    </w:p>
    <w:p>
      <w:pPr>
        <w:jc w:val="center"/>
      </w:pPr>
      <w:r>
        <w:rPr>
          <w:i/>
          <w:color w:val="595959"/>
        </w:rPr>
        <w:t>Simplified Training SOP | Compound Management Assistant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SOP ID</w:t>
            </w:r>
          </w:p>
        </w:tc>
        <w:tc>
          <w:tcPr>
            <w:tcW w:type="dxa" w:w="2520"/>
            <w:vAlign w:val="center"/>
          </w:tcPr>
          <w:p>
            <w:r>
              <w:t>CM-DMSO-001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520"/>
            <w:vAlign w:val="center"/>
          </w:tcPr>
          <w:p>
            <w:r>
              <w:t>1.0</w:t>
            </w:r>
          </w:p>
        </w:tc>
      </w:tr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2520"/>
            <w:vAlign w:val="center"/>
          </w:tcPr>
          <w:p>
            <w:r>
              <w:t>2026-07-21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520"/>
            <w:vAlign w:val="center"/>
          </w:tcPr>
          <w:p>
            <w:r>
              <w:t>Compound Management Team</w:t>
            </w:r>
          </w:p>
        </w:tc>
      </w:tr>
    </w:tbl>
    <w:p/>
    <w:p>
      <w:pPr>
        <w:pStyle w:val="Heading1"/>
      </w:pPr>
      <w:r>
        <w:t>1. Purpose</w:t>
      </w:r>
    </w:p>
    <w:p>
      <w:r>
        <w:t>Define simplified rules for the use of dimethyl sulfoxide (DMSO) in compound stocks, intermediate dilutions, and assay-ready plates. These rules are designed for deterministic checks by the Compound Management Assistant.</w:t>
      </w:r>
    </w:p>
    <w:p>
      <w:pPr>
        <w:pStyle w:val="Heading1"/>
      </w:pPr>
      <w:r>
        <w:t>2. Scope</w:t>
      </w:r>
    </w:p>
    <w:p>
      <w:r>
        <w:t>Applies to mock small-molecule compounds stored or dispensed in DMSO for 96-well or 384-well assay workflows.</w:t>
      </w:r>
    </w:p>
    <w:p>
      <w:pPr>
        <w:pStyle w:val="Heading1"/>
      </w:pPr>
      <w:r>
        <w:t>3. 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080"/>
            <w:shd w:fill="1F4E78"/>
          </w:tcPr>
          <w:p>
            <w:r>
              <w:rPr>
                <w:b/>
                <w:color w:val="FFFFFF"/>
              </w:rPr>
              <w:t>Rule ID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color w:val="FFFFFF"/>
              </w:rPr>
              <w:t>Business Rule</w:t>
            </w:r>
          </w:p>
        </w:tc>
        <w:tc>
          <w:tcPr>
            <w:tcW w:type="dxa" w:w="2160"/>
            <w:shd w:fill="1F4E78"/>
          </w:tcPr>
          <w:p>
            <w:r>
              <w:rPr>
                <w:b/>
                <w:color w:val="FFFFFF"/>
              </w:rPr>
              <w:t>Limit / Requirement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color w:val="FFFFFF"/>
              </w:rPr>
              <w:t>System Decision</w:t>
            </w:r>
          </w:p>
        </w:tc>
        <w:tc>
          <w:tcPr>
            <w:tcW w:type="dxa" w:w="2160"/>
            <w:shd w:fill="1F4E78"/>
          </w:tcPr>
          <w:p>
            <w:r>
              <w:rPr>
                <w:b/>
                <w:color w:val="FFFFFF"/>
              </w:rPr>
              <w:t>Evidence Output</w:t>
            </w:r>
          </w:p>
        </w:tc>
      </w:tr>
      <w:tr>
        <w:tc>
          <w:tcPr>
            <w:tcW w:type="dxa" w:w="1080"/>
            <w:vAlign w:val="center"/>
          </w:tcPr>
          <w:p>
            <w:r>
              <w:t>DMSO-001</w:t>
            </w:r>
          </w:p>
        </w:tc>
        <w:tc>
          <w:tcPr>
            <w:tcW w:type="dxa" w:w="2880"/>
            <w:vAlign w:val="center"/>
          </w:tcPr>
          <w:p>
            <w:r>
              <w:t>Final assay DMSO must not exceed the standard limit.</w:t>
            </w:r>
          </w:p>
        </w:tc>
        <w:tc>
          <w:tcPr>
            <w:tcW w:type="dxa" w:w="2160"/>
            <w:vAlign w:val="center"/>
          </w:tcPr>
          <w:p>
            <w:r>
              <w:t>≤ 0.5% v/v</w:t>
            </w:r>
          </w:p>
        </w:tc>
        <w:tc>
          <w:tcPr>
            <w:tcW w:type="dxa" w:w="2880"/>
            <w:vAlign w:val="center"/>
          </w:tcPr>
          <w:p>
            <w:r>
              <w:t>PASS at or below limit; BLOCK above limit unless approved exception exists.</w:t>
            </w:r>
          </w:p>
        </w:tc>
        <w:tc>
          <w:tcPr>
            <w:tcW w:type="dxa" w:w="2160"/>
            <w:vAlign w:val="center"/>
          </w:tcPr>
          <w:p>
            <w:r>
              <w:t>Calculated DMSO %, limit, result</w:t>
            </w:r>
          </w:p>
        </w:tc>
      </w:tr>
      <w:tr>
        <w:tc>
          <w:tcPr>
            <w:tcW w:type="dxa" w:w="1080"/>
            <w:vAlign w:val="center"/>
          </w:tcPr>
          <w:p>
            <w:r>
              <w:t>DMSO-002</w:t>
            </w:r>
          </w:p>
        </w:tc>
        <w:tc>
          <w:tcPr>
            <w:tcW w:type="dxa" w:w="2880"/>
            <w:vAlign w:val="center"/>
          </w:tcPr>
          <w:p>
            <w:r>
              <w:t>Intermediate dilution DMSO must remain within handling limit.</w:t>
            </w:r>
          </w:p>
        </w:tc>
        <w:tc>
          <w:tcPr>
            <w:tcW w:type="dxa" w:w="2160"/>
            <w:vAlign w:val="center"/>
          </w:tcPr>
          <w:p>
            <w:r>
              <w:t>≤ 10% v/v</w:t>
            </w:r>
          </w:p>
        </w:tc>
        <w:tc>
          <w:tcPr>
            <w:tcW w:type="dxa" w:w="2880"/>
            <w:vAlign w:val="center"/>
          </w:tcPr>
          <w:p>
            <w:r>
              <w:t>FLAG above limit and require reformulation or documented exception.</w:t>
            </w:r>
          </w:p>
        </w:tc>
        <w:tc>
          <w:tcPr>
            <w:tcW w:type="dxa" w:w="2160"/>
            <w:vAlign w:val="center"/>
          </w:tcPr>
          <w:p>
            <w:r>
              <w:t>Intermediate DMSO %, limit, warning</w:t>
            </w:r>
          </w:p>
        </w:tc>
      </w:tr>
      <w:tr>
        <w:tc>
          <w:tcPr>
            <w:tcW w:type="dxa" w:w="1080"/>
            <w:vAlign w:val="center"/>
          </w:tcPr>
          <w:p>
            <w:r>
              <w:t>DMSO-003</w:t>
            </w:r>
          </w:p>
        </w:tc>
        <w:tc>
          <w:tcPr>
            <w:tcW w:type="dxa" w:w="2880"/>
            <w:vAlign w:val="center"/>
          </w:tcPr>
          <w:p>
            <w:r>
              <w:t>Vehicle controls must match the highest DMSO level used in test wells.</w:t>
            </w:r>
          </w:p>
        </w:tc>
        <w:tc>
          <w:tcPr>
            <w:tcW w:type="dxa" w:w="2160"/>
            <w:vAlign w:val="center"/>
          </w:tcPr>
          <w:p>
            <w:r>
              <w:t>Required</w:t>
            </w:r>
          </w:p>
        </w:tc>
        <w:tc>
          <w:tcPr>
            <w:tcW w:type="dxa" w:w="2880"/>
            <w:vAlign w:val="center"/>
          </w:tcPr>
          <w:p>
            <w:r>
              <w:t>FLAG plate map when matched control is missing.</w:t>
            </w:r>
          </w:p>
        </w:tc>
        <w:tc>
          <w:tcPr>
            <w:tcW w:type="dxa" w:w="2160"/>
            <w:vAlign w:val="center"/>
          </w:tcPr>
          <w:p>
            <w:r>
              <w:t>Control wells and DMSO %</w:t>
            </w:r>
          </w:p>
        </w:tc>
      </w:tr>
      <w:tr>
        <w:tc>
          <w:tcPr>
            <w:tcW w:type="dxa" w:w="1080"/>
            <w:vAlign w:val="center"/>
          </w:tcPr>
          <w:p>
            <w:r>
              <w:t>DMSO-004</w:t>
            </w:r>
          </w:p>
        </w:tc>
        <w:tc>
          <w:tcPr>
            <w:tcW w:type="dxa" w:w="2880"/>
            <w:vAlign w:val="center"/>
          </w:tcPr>
          <w:p>
            <w:r>
              <w:t>DMSO stocks should be visually inspected before dispensing.</w:t>
            </w:r>
          </w:p>
        </w:tc>
        <w:tc>
          <w:tcPr>
            <w:tcW w:type="dxa" w:w="2160"/>
            <w:vAlign w:val="center"/>
          </w:tcPr>
          <w:p>
            <w:r>
              <w:t>No visible precipitate</w:t>
            </w:r>
          </w:p>
        </w:tc>
        <w:tc>
          <w:tcPr>
            <w:tcW w:type="dxa" w:w="2880"/>
            <w:vAlign w:val="center"/>
          </w:tcPr>
          <w:p>
            <w:r>
              <w:t>QUARANTINE if precipitation is recorded.</w:t>
            </w:r>
          </w:p>
        </w:tc>
        <w:tc>
          <w:tcPr>
            <w:tcW w:type="dxa" w:w="2160"/>
            <w:vAlign w:val="center"/>
          </w:tcPr>
          <w:p>
            <w:r>
              <w:t>Inspection status / handling note</w:t>
            </w:r>
          </w:p>
        </w:tc>
      </w:tr>
      <w:tr>
        <w:tc>
          <w:tcPr>
            <w:tcW w:type="dxa" w:w="1080"/>
            <w:vAlign w:val="center"/>
          </w:tcPr>
          <w:p>
            <w:r>
              <w:t>DMSO-005</w:t>
            </w:r>
          </w:p>
        </w:tc>
        <w:tc>
          <w:tcPr>
            <w:tcW w:type="dxa" w:w="2880"/>
            <w:vAlign w:val="center"/>
          </w:tcPr>
          <w:p>
            <w:r>
              <w:t>Water-sensitive DMSO stocks should remain capped and exposure minimized.</w:t>
            </w:r>
          </w:p>
        </w:tc>
        <w:tc>
          <w:tcPr>
            <w:tcW w:type="dxa" w:w="2160"/>
            <w:vAlign w:val="center"/>
          </w:tcPr>
          <w:p>
            <w:r>
              <w:t>Minimize open time</w:t>
            </w:r>
          </w:p>
        </w:tc>
        <w:tc>
          <w:tcPr>
            <w:tcW w:type="dxa" w:w="2880"/>
            <w:vAlign w:val="center"/>
          </w:tcPr>
          <w:p>
            <w:r>
              <w:t>WARN when handling notes indicate prolonged exposure.</w:t>
            </w:r>
          </w:p>
        </w:tc>
        <w:tc>
          <w:tcPr>
            <w:tcW w:type="dxa" w:w="2160"/>
            <w:vAlign w:val="center"/>
          </w:tcPr>
          <w:p>
            <w:r>
              <w:t>Handling note and warning</w:t>
            </w:r>
          </w:p>
        </w:tc>
      </w:tr>
    </w:tbl>
    <w:p/>
    <w:p>
      <w:pPr>
        <w:pStyle w:val="Heading1"/>
      </w:pPr>
      <w:r>
        <w:t>4. Calculation Rule</w:t>
      </w:r>
    </w:p>
    <w:p>
      <w:r>
        <w:t>Final DMSO % = (total DMSO-containing transfer volume ÷ final assay well volume) × 100. The calculation engine must use numeric inputs and must not allow the LLM to estimate missing values.</w:t>
      </w:r>
    </w:p>
    <w:p>
      <w:pPr>
        <w:pStyle w:val="Heading1"/>
      </w:pPr>
      <w:r>
        <w:t>5. Dispensing Requirements</w:t>
      </w:r>
    </w:p>
    <w:p>
      <w:pPr>
        <w:pStyle w:val="ListBullet"/>
      </w:pPr>
      <w:r>
        <w:t>Use calibrated liquid-handling equipment appropriate for the requested transfer volume.</w:t>
      </w:r>
    </w:p>
    <w:p>
      <w:pPr>
        <w:pStyle w:val="ListBullet"/>
      </w:pPr>
      <w:r>
        <w:t>Do not dispense from containers marked Quarantined, In Transit, Depleted, or Expired.</w:t>
      </w:r>
    </w:p>
    <w:p>
      <w:pPr>
        <w:pStyle w:val="ListBullet"/>
      </w:pPr>
      <w:r>
        <w:t>Maintain a minimum residual volume of 10 µL in the source container.</w:t>
      </w:r>
    </w:p>
    <w:p>
      <w:pPr>
        <w:pStyle w:val="ListBullet"/>
      </w:pPr>
      <w:r>
        <w:t>Record source container, destination well, transfer volume, and resulting DMSO percentage.</w:t>
      </w:r>
    </w:p>
    <w:p>
      <w:pPr>
        <w:pStyle w:val="Heading1"/>
      </w:pPr>
      <w:r>
        <w:t>6. Exception Handling</w:t>
      </w:r>
    </w:p>
    <w:p>
      <w:r>
        <w:t>An exception requires documented assay-owner approval. The assistant should return 'Not Feasible' when a hard limit is exceeded and no approval field is present; otherwise it should return a warning and cite the applicable rule.</w:t>
      </w:r>
    </w:p>
    <w:p>
      <w:pPr>
        <w:pStyle w:val="Heading1"/>
      </w:pPr>
      <w:r>
        <w:t>7. AI Guardrail</w:t>
      </w:r>
    </w:p>
    <w:p>
      <w:r>
        <w:t>The AI may explain a calculated result but must not invent solvent composition, transfer volumes, approval status, or DMSO limits.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Educational mock SOP - not for regulated laboratory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4546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