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Freeze-Thaw Control SOP</w:t>
      </w:r>
    </w:p>
    <w:p>
      <w:pPr>
        <w:jc w:val="center"/>
      </w:pPr>
      <w:r>
        <w:rPr>
          <w:i/>
          <w:color w:val="595959"/>
        </w:rPr>
        <w:t>Simplified Training SOP | Compound Management Assistant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SOP ID</w:t>
            </w:r>
          </w:p>
        </w:tc>
        <w:tc>
          <w:tcPr>
            <w:tcW w:type="dxa" w:w="2520"/>
            <w:vAlign w:val="center"/>
          </w:tcPr>
          <w:p>
            <w:r>
              <w:t>CM-FT-001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2520"/>
            <w:vAlign w:val="center"/>
          </w:tcPr>
          <w:p>
            <w:r>
              <w:t>1.0</w:t>
            </w:r>
          </w:p>
        </w:tc>
      </w:tr>
      <w:tr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2520"/>
            <w:vAlign w:val="center"/>
          </w:tcPr>
          <w:p>
            <w:r>
              <w:t>2026-07-21</w:t>
            </w:r>
          </w:p>
        </w:tc>
        <w:tc>
          <w:tcPr>
            <w:tcW w:type="dxa" w:w="2520"/>
            <w:vAlign w:val="center"/>
            <w:shd w:fill="D9EAF7"/>
          </w:tcPr>
          <w:p>
            <w:r>
              <w:rPr>
                <w:b/>
              </w:rPr>
              <w:t>Owner</w:t>
            </w:r>
          </w:p>
        </w:tc>
        <w:tc>
          <w:tcPr>
            <w:tcW w:type="dxa" w:w="2520"/>
            <w:vAlign w:val="center"/>
          </w:tcPr>
          <w:p>
            <w:r>
              <w:t>Compound Management Team</w:t>
            </w:r>
          </w:p>
        </w:tc>
      </w:tr>
    </w:tbl>
    <w:p/>
    <w:p>
      <w:pPr>
        <w:pStyle w:val="Heading1"/>
      </w:pPr>
      <w:r>
        <w:t>1. Purpose</w:t>
      </w:r>
    </w:p>
    <w:p>
      <w:r>
        <w:t>Define how freeze-thaw cycles are counted, reviewed, and used to determine compound dispensing eligibility.</w:t>
      </w:r>
    </w:p>
    <w:p>
      <w:pPr>
        <w:pStyle w:val="Heading1"/>
      </w:pPr>
      <w:r>
        <w:t>2. Scope</w:t>
      </w:r>
    </w:p>
    <w:p>
      <w:r>
        <w:t>Applies to all mock compound containers stored frozen and tracked in the compound inventory.</w:t>
      </w:r>
    </w:p>
    <w:p>
      <w:pPr>
        <w:pStyle w:val="Heading1"/>
      </w:pPr>
      <w:r>
        <w:t>3. Definitions</w:t>
      </w:r>
    </w:p>
    <w:p>
      <w:pPr>
        <w:pStyle w:val="ListBullet"/>
      </w:pPr>
      <w:r>
        <w:t>Freeze-thaw cycle: one complete transition from frozen storage to thawed handling and back to frozen storage.</w:t>
      </w:r>
    </w:p>
    <w:p>
      <w:pPr>
        <w:pStyle w:val="ListBullet"/>
      </w:pPr>
      <w:r>
        <w:t>Aliquot: a separately tracked portion of a parent stock that has its own container ID and freeze-thaw count.</w:t>
      </w:r>
    </w:p>
    <w:p>
      <w:pPr>
        <w:pStyle w:val="ListBullet"/>
      </w:pPr>
      <w:r>
        <w:t>Quarantine: status preventing dispensing until a qualified reviewer releases or replaces the material.</w:t>
      </w:r>
    </w:p>
    <w:p>
      <w:pPr>
        <w:pStyle w:val="Heading1"/>
      </w:pPr>
      <w:r>
        <w:t>4. Business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1080"/>
            <w:shd w:fill="1F4E78"/>
          </w:tcPr>
          <w:p>
            <w:r>
              <w:rPr>
                <w:b/>
                <w:color w:val="FFFFFF"/>
              </w:rPr>
              <w:t>Rule ID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Business Rule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Limit / Requirement</w:t>
            </w:r>
          </w:p>
        </w:tc>
        <w:tc>
          <w:tcPr>
            <w:tcW w:type="dxa" w:w="2880"/>
            <w:shd w:fill="1F4E78"/>
          </w:tcPr>
          <w:p>
            <w:r>
              <w:rPr>
                <w:b/>
                <w:color w:val="FFFFFF"/>
              </w:rPr>
              <w:t>System Decision</w:t>
            </w:r>
          </w:p>
        </w:tc>
        <w:tc>
          <w:tcPr>
            <w:tcW w:type="dxa" w:w="2160"/>
            <w:shd w:fill="1F4E78"/>
          </w:tcPr>
          <w:p>
            <w:r>
              <w:rPr>
                <w:b/>
                <w:color w:val="FFFFFF"/>
              </w:rPr>
              <w:t>Evidence Output</w:t>
            </w:r>
          </w:p>
        </w:tc>
      </w:tr>
      <w:tr>
        <w:tc>
          <w:tcPr>
            <w:tcW w:type="dxa" w:w="1080"/>
            <w:vAlign w:val="center"/>
          </w:tcPr>
          <w:p>
            <w:r>
              <w:t>FT-001</w:t>
            </w:r>
          </w:p>
        </w:tc>
        <w:tc>
          <w:tcPr>
            <w:tcW w:type="dxa" w:w="2880"/>
            <w:vAlign w:val="center"/>
          </w:tcPr>
          <w:p>
            <w:r>
              <w:t>Maximum permitted freeze-thaw count.</w:t>
            </w:r>
          </w:p>
        </w:tc>
        <w:tc>
          <w:tcPr>
            <w:tcW w:type="dxa" w:w="2160"/>
            <w:vAlign w:val="center"/>
          </w:tcPr>
          <w:p>
            <w:r>
              <w:t>≤ 4 cycles</w:t>
            </w:r>
          </w:p>
        </w:tc>
        <w:tc>
          <w:tcPr>
            <w:tcW w:type="dxa" w:w="2880"/>
            <w:vAlign w:val="center"/>
          </w:tcPr>
          <w:p>
            <w:r>
              <w:t>PASS for counts 0-4; QUARANTINE and BLOCK at 5 or more.</w:t>
            </w:r>
          </w:p>
        </w:tc>
        <w:tc>
          <w:tcPr>
            <w:tcW w:type="dxa" w:w="2160"/>
            <w:vAlign w:val="center"/>
          </w:tcPr>
          <w:p>
            <w:r>
              <w:t>Recorded count, limit, result</w:t>
            </w:r>
          </w:p>
        </w:tc>
      </w:tr>
      <w:tr>
        <w:tc>
          <w:tcPr>
            <w:tcW w:type="dxa" w:w="1080"/>
            <w:vAlign w:val="center"/>
          </w:tcPr>
          <w:p>
            <w:r>
              <w:t>FT-002</w:t>
            </w:r>
          </w:p>
        </w:tc>
        <w:tc>
          <w:tcPr>
            <w:tcW w:type="dxa" w:w="2880"/>
            <w:vAlign w:val="center"/>
          </w:tcPr>
          <w:p>
            <w:r>
              <w:t>Every thaw event must be recorded before material is returned to storage.</w:t>
            </w:r>
          </w:p>
        </w:tc>
        <w:tc>
          <w:tcPr>
            <w:tcW w:type="dxa" w:w="2160"/>
            <w:vAlign w:val="center"/>
          </w:tcPr>
          <w:p>
            <w:r>
              <w:t>Required</w:t>
            </w:r>
          </w:p>
        </w:tc>
        <w:tc>
          <w:tcPr>
            <w:tcW w:type="dxa" w:w="2880"/>
            <w:vAlign w:val="center"/>
          </w:tcPr>
          <w:p>
            <w:r>
              <w:t>INSUFFICIENT INFORMATION when count is blank or unknown.</w:t>
            </w:r>
          </w:p>
        </w:tc>
        <w:tc>
          <w:tcPr>
            <w:tcW w:type="dxa" w:w="2160"/>
            <w:vAlign w:val="center"/>
          </w:tcPr>
          <w:p>
            <w:r>
              <w:t>Container ID and cycle record</w:t>
            </w:r>
          </w:p>
        </w:tc>
      </w:tr>
      <w:tr>
        <w:tc>
          <w:tcPr>
            <w:tcW w:type="dxa" w:w="1080"/>
            <w:vAlign w:val="center"/>
          </w:tcPr>
          <w:p>
            <w:r>
              <w:t>FT-003</w:t>
            </w:r>
          </w:p>
        </w:tc>
        <w:tc>
          <w:tcPr>
            <w:tcW w:type="dxa" w:w="2880"/>
            <w:vAlign w:val="center"/>
          </w:tcPr>
          <w:p>
            <w:r>
              <w:t>Do not combine counts across separate aliquots.</w:t>
            </w:r>
          </w:p>
        </w:tc>
        <w:tc>
          <w:tcPr>
            <w:tcW w:type="dxa" w:w="2160"/>
            <w:vAlign w:val="center"/>
          </w:tcPr>
          <w:p>
            <w:r>
              <w:t>Track by container ID</w:t>
            </w:r>
          </w:p>
        </w:tc>
        <w:tc>
          <w:tcPr>
            <w:tcW w:type="dxa" w:w="2880"/>
            <w:vAlign w:val="center"/>
          </w:tcPr>
          <w:p>
            <w:r>
              <w:t>FLAG duplicate or missing container identifiers.</w:t>
            </w:r>
          </w:p>
        </w:tc>
        <w:tc>
          <w:tcPr>
            <w:tcW w:type="dxa" w:w="2160"/>
            <w:vAlign w:val="center"/>
          </w:tcPr>
          <w:p>
            <w:r>
              <w:t>Compound ID and container ID</w:t>
            </w:r>
          </w:p>
        </w:tc>
      </w:tr>
      <w:tr>
        <w:tc>
          <w:tcPr>
            <w:tcW w:type="dxa" w:w="1080"/>
            <w:vAlign w:val="center"/>
          </w:tcPr>
          <w:p>
            <w:r>
              <w:t>FT-004</w:t>
            </w:r>
          </w:p>
        </w:tc>
        <w:tc>
          <w:tcPr>
            <w:tcW w:type="dxa" w:w="2880"/>
            <w:vAlign w:val="center"/>
          </w:tcPr>
          <w:p>
            <w:r>
              <w:t>After dispensing from a thawed vial, increment the count once when refrozen.</w:t>
            </w:r>
          </w:p>
        </w:tc>
        <w:tc>
          <w:tcPr>
            <w:tcW w:type="dxa" w:w="2160"/>
            <w:vAlign w:val="center"/>
          </w:tcPr>
          <w:p>
            <w:r>
              <w:t>+1 per cycle</w:t>
            </w:r>
          </w:p>
        </w:tc>
        <w:tc>
          <w:tcPr>
            <w:tcW w:type="dxa" w:w="2880"/>
            <w:vAlign w:val="center"/>
          </w:tcPr>
          <w:p>
            <w:r>
              <w:t>UPDATE inventory count after completed handling.</w:t>
            </w:r>
          </w:p>
        </w:tc>
        <w:tc>
          <w:tcPr>
            <w:tcW w:type="dxa" w:w="2160"/>
            <w:vAlign w:val="center"/>
          </w:tcPr>
          <w:p>
            <w:r>
              <w:t>Previous and new count</w:t>
            </w:r>
          </w:p>
        </w:tc>
      </w:tr>
      <w:tr>
        <w:tc>
          <w:tcPr>
            <w:tcW w:type="dxa" w:w="1080"/>
            <w:vAlign w:val="center"/>
          </w:tcPr>
          <w:p>
            <w:r>
              <w:t>FT-005</w:t>
            </w:r>
          </w:p>
        </w:tc>
        <w:tc>
          <w:tcPr>
            <w:tcW w:type="dxa" w:w="2880"/>
            <w:vAlign w:val="center"/>
          </w:tcPr>
          <w:p>
            <w:r>
              <w:t>Materials above the limit may not be used without documented stability justification.</w:t>
            </w:r>
          </w:p>
        </w:tc>
        <w:tc>
          <w:tcPr>
            <w:tcW w:type="dxa" w:w="2160"/>
            <w:vAlign w:val="center"/>
          </w:tcPr>
          <w:p>
            <w:r>
              <w:t>Approval required</w:t>
            </w:r>
          </w:p>
        </w:tc>
        <w:tc>
          <w:tcPr>
            <w:tcW w:type="dxa" w:w="2880"/>
            <w:vAlign w:val="center"/>
          </w:tcPr>
          <w:p>
            <w:r>
              <w:t>BLOCK unless exception evidence is attached.</w:t>
            </w:r>
          </w:p>
        </w:tc>
        <w:tc>
          <w:tcPr>
            <w:tcW w:type="dxa" w:w="2160"/>
            <w:vAlign w:val="center"/>
          </w:tcPr>
          <w:p>
            <w:r>
              <w:t>Approval reference and rule citation</w:t>
            </w:r>
          </w:p>
        </w:tc>
      </w:tr>
    </w:tbl>
    <w:p/>
    <w:p>
      <w:pPr>
        <w:pStyle w:val="Heading1"/>
      </w:pPr>
      <w:r>
        <w:t>5. Operating Procedure</w:t>
      </w:r>
    </w:p>
    <w:p>
      <w:pPr>
        <w:pStyle w:val="ListBullet"/>
      </w:pPr>
      <w:r>
        <w:t>Confirm compound ID, container ID, current status, and freeze-thaw count before removal from storage.</w:t>
      </w:r>
    </w:p>
    <w:p>
      <w:pPr>
        <w:pStyle w:val="ListBullet"/>
      </w:pPr>
      <w:r>
        <w:t>Thaw only the number of containers needed for the scheduled work.</w:t>
      </w:r>
    </w:p>
    <w:p>
      <w:pPr>
        <w:pStyle w:val="ListBullet"/>
      </w:pPr>
      <w:r>
        <w:t>Mix gently and inspect for precipitation or phase separation.</w:t>
      </w:r>
    </w:p>
    <w:p>
      <w:pPr>
        <w:pStyle w:val="ListBullet"/>
      </w:pPr>
      <w:r>
        <w:t>Complete dispensing promptly and return eligible material to its assigned storage condition.</w:t>
      </w:r>
    </w:p>
    <w:p>
      <w:pPr>
        <w:pStyle w:val="ListBullet"/>
      </w:pPr>
      <w:r>
        <w:t>Increment the freeze-thaw count after the container is refrozen.</w:t>
      </w:r>
    </w:p>
    <w:p>
      <w:pPr>
        <w:pStyle w:val="Heading1"/>
      </w:pPr>
      <w:r>
        <w:t>6. Decision Outcomes</w:t>
      </w:r>
    </w:p>
    <w:p>
      <w:r>
        <w:t>Counts of 0-4 are eligible if all other rules pass. Counts of 5 or more are not eligible. A missing count produces an 'Insufficient Information' verdict rather than an assumed pass.</w:t>
      </w:r>
    </w:p>
    <w:p>
      <w:pPr>
        <w:pStyle w:val="Heading1"/>
      </w:pPr>
      <w:r>
        <w:t>7. AI Guardrail</w:t>
      </w:r>
    </w:p>
    <w:p>
      <w:r>
        <w:t>The AI may summarize the recorded history but must not infer an unrecorded count or override a quarantine decision.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Educational mock SOP - not for regulated laboratory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4546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