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Compound Storage and Dispensing SOP</w:t>
      </w:r>
    </w:p>
    <w:p>
      <w:pPr>
        <w:jc w:val="center"/>
      </w:pPr>
      <w:r>
        <w:rPr>
          <w:i/>
          <w:color w:val="595959"/>
        </w:rPr>
        <w:t>Simplified Training SOP | Compound Management Assistant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SOP ID</w:t>
            </w:r>
          </w:p>
        </w:tc>
        <w:tc>
          <w:tcPr>
            <w:tcW w:type="dxa" w:w="2520"/>
            <w:vAlign w:val="center"/>
          </w:tcPr>
          <w:p>
            <w:r>
              <w:t>CM-STO-001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20"/>
            <w:vAlign w:val="center"/>
          </w:tcPr>
          <w:p>
            <w:r>
              <w:t>1.0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520"/>
            <w:vAlign w:val="center"/>
          </w:tcPr>
          <w:p>
            <w:r>
              <w:t>2026-07-21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20"/>
            <w:vAlign w:val="center"/>
          </w:tcPr>
          <w:p>
            <w:r>
              <w:t>Compound Management Team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 simplified storage, expiration, inventory-status, residual-volume, and dispensing rules for the Compound Management Assistant.</w:t>
      </w:r>
    </w:p>
    <w:p>
      <w:pPr>
        <w:pStyle w:val="Heading1"/>
      </w:pPr>
      <w:r>
        <w:t>2. Scope</w:t>
      </w:r>
    </w:p>
    <w:p>
      <w:r>
        <w:t>Applies to mock compound containers listed in inventory.xlsx and used for assay plate preparation.</w:t>
      </w:r>
    </w:p>
    <w:p>
      <w:pPr>
        <w:pStyle w:val="Heading1"/>
      </w:pPr>
      <w:r>
        <w:t>3.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80"/>
            <w:shd w:fill="1F4E78"/>
          </w:tcPr>
          <w:p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Business Rule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Limit / Requirement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System Decision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Evidence Output</w:t>
            </w:r>
          </w:p>
        </w:tc>
      </w:tr>
      <w:tr>
        <w:tc>
          <w:tcPr>
            <w:tcW w:type="dxa" w:w="1080"/>
            <w:vAlign w:val="center"/>
          </w:tcPr>
          <w:p>
            <w:r>
              <w:t>STO-001</w:t>
            </w:r>
          </w:p>
        </w:tc>
        <w:tc>
          <w:tcPr>
            <w:tcW w:type="dxa" w:w="2880"/>
            <w:vAlign w:val="center"/>
          </w:tcPr>
          <w:p>
            <w:r>
              <w:t>DMSO compound stocks are stored frozen unless a compound-specific instruction states otherwise.</w:t>
            </w:r>
          </w:p>
        </w:tc>
        <w:tc>
          <w:tcPr>
            <w:tcW w:type="dxa" w:w="2160"/>
            <w:vAlign w:val="center"/>
          </w:tcPr>
          <w:p>
            <w:r>
              <w:t>-20°C or colder</w:t>
            </w:r>
          </w:p>
        </w:tc>
        <w:tc>
          <w:tcPr>
            <w:tcW w:type="dxa" w:w="2880"/>
            <w:vAlign w:val="center"/>
          </w:tcPr>
          <w:p>
            <w:r>
              <w:t>FLAG 2-8°C DMSO stocks for review; BLOCK if no exception exists.</w:t>
            </w:r>
          </w:p>
        </w:tc>
        <w:tc>
          <w:tcPr>
            <w:tcW w:type="dxa" w:w="2160"/>
            <w:vAlign w:val="center"/>
          </w:tcPr>
          <w:p>
            <w:r>
              <w:t>Solvent, temperature, handling note</w:t>
            </w:r>
          </w:p>
        </w:tc>
      </w:tr>
      <w:tr>
        <w:tc>
          <w:tcPr>
            <w:tcW w:type="dxa" w:w="1080"/>
            <w:vAlign w:val="center"/>
          </w:tcPr>
          <w:p>
            <w:r>
              <w:t>STO-002</w:t>
            </w:r>
          </w:p>
        </w:tc>
        <w:tc>
          <w:tcPr>
            <w:tcW w:type="dxa" w:w="2880"/>
            <w:vAlign w:val="center"/>
          </w:tcPr>
          <w:p>
            <w:r>
              <w:t>Expired compounds are not dispensable.</w:t>
            </w:r>
          </w:p>
        </w:tc>
        <w:tc>
          <w:tcPr>
            <w:tcW w:type="dxa" w:w="2160"/>
            <w:vAlign w:val="center"/>
          </w:tcPr>
          <w:p>
            <w:r>
              <w:t>Expiration date ≥ request date</w:t>
            </w:r>
          </w:p>
        </w:tc>
        <w:tc>
          <w:tcPr>
            <w:tcW w:type="dxa" w:w="2880"/>
            <w:vAlign w:val="center"/>
          </w:tcPr>
          <w:p>
            <w:r>
              <w:t>BLOCK when expiration precedes request date.</w:t>
            </w:r>
          </w:p>
        </w:tc>
        <w:tc>
          <w:tcPr>
            <w:tcW w:type="dxa" w:w="2160"/>
            <w:vAlign w:val="center"/>
          </w:tcPr>
          <w:p>
            <w:r>
              <w:t>Expiration date and request date</w:t>
            </w:r>
          </w:p>
        </w:tc>
      </w:tr>
      <w:tr>
        <w:tc>
          <w:tcPr>
            <w:tcW w:type="dxa" w:w="1080"/>
            <w:vAlign w:val="center"/>
          </w:tcPr>
          <w:p>
            <w:r>
              <w:t>STO-003</w:t>
            </w:r>
          </w:p>
        </w:tc>
        <w:tc>
          <w:tcPr>
            <w:tcW w:type="dxa" w:w="2880"/>
            <w:vAlign w:val="center"/>
          </w:tcPr>
          <w:p>
            <w:r>
              <w:t>Only released inventory may be dispensed.</w:t>
            </w:r>
          </w:p>
        </w:tc>
        <w:tc>
          <w:tcPr>
            <w:tcW w:type="dxa" w:w="2160"/>
            <w:vAlign w:val="center"/>
          </w:tcPr>
          <w:p>
            <w:r>
              <w:t>Status = Available</w:t>
            </w:r>
          </w:p>
        </w:tc>
        <w:tc>
          <w:tcPr>
            <w:tcW w:type="dxa" w:w="2880"/>
            <w:vAlign w:val="center"/>
          </w:tcPr>
          <w:p>
            <w:r>
              <w:t>BLOCK Quarantined, In Transit, or Depleted records.</w:t>
            </w:r>
          </w:p>
        </w:tc>
        <w:tc>
          <w:tcPr>
            <w:tcW w:type="dxa" w:w="2160"/>
            <w:vAlign w:val="center"/>
          </w:tcPr>
          <w:p>
            <w:r>
              <w:t>Inventory status</w:t>
            </w:r>
          </w:p>
        </w:tc>
      </w:tr>
      <w:tr>
        <w:tc>
          <w:tcPr>
            <w:tcW w:type="dxa" w:w="1080"/>
            <w:vAlign w:val="center"/>
          </w:tcPr>
          <w:p>
            <w:r>
              <w:t>STO-004</w:t>
            </w:r>
          </w:p>
        </w:tc>
        <w:tc>
          <w:tcPr>
            <w:tcW w:type="dxa" w:w="2880"/>
            <w:vAlign w:val="center"/>
          </w:tcPr>
          <w:p>
            <w:r>
              <w:t>A residual volume must remain after planned dispensing.</w:t>
            </w:r>
          </w:p>
        </w:tc>
        <w:tc>
          <w:tcPr>
            <w:tcW w:type="dxa" w:w="2160"/>
            <w:vAlign w:val="center"/>
          </w:tcPr>
          <w:p>
            <w:r>
              <w:t>10 µL minimum</w:t>
            </w:r>
          </w:p>
        </w:tc>
        <w:tc>
          <w:tcPr>
            <w:tcW w:type="dxa" w:w="2880"/>
            <w:vAlign w:val="center"/>
          </w:tcPr>
          <w:p>
            <w:r>
              <w:t>Usable volume = available volume - 10 µL; BLOCK if required volume exceeds usable volume.</w:t>
            </w:r>
          </w:p>
        </w:tc>
        <w:tc>
          <w:tcPr>
            <w:tcW w:type="dxa" w:w="2160"/>
            <w:vAlign w:val="center"/>
          </w:tcPr>
          <w:p>
            <w:r>
              <w:t>Available, residual, usable, required</w:t>
            </w:r>
          </w:p>
        </w:tc>
      </w:tr>
      <w:tr>
        <w:tc>
          <w:tcPr>
            <w:tcW w:type="dxa" w:w="1080"/>
            <w:vAlign w:val="center"/>
          </w:tcPr>
          <w:p>
            <w:r>
              <w:t>STO-005</w:t>
            </w:r>
          </w:p>
        </w:tc>
        <w:tc>
          <w:tcPr>
            <w:tcW w:type="dxa" w:w="2880"/>
            <w:vAlign w:val="center"/>
          </w:tcPr>
          <w:p>
            <w:r>
              <w:t>Source concentration must not exceed recorded solubility without evidence.</w:t>
            </w:r>
          </w:p>
        </w:tc>
        <w:tc>
          <w:tcPr>
            <w:tcW w:type="dxa" w:w="2160"/>
            <w:vAlign w:val="center"/>
          </w:tcPr>
          <w:p>
            <w:r>
              <w:t>Stock ≤ solubility</w:t>
            </w:r>
          </w:p>
        </w:tc>
        <w:tc>
          <w:tcPr>
            <w:tcW w:type="dxa" w:w="2880"/>
            <w:vAlign w:val="center"/>
          </w:tcPr>
          <w:p>
            <w:r>
              <w:t>FLAG for scientific review.</w:t>
            </w:r>
          </w:p>
        </w:tc>
        <w:tc>
          <w:tcPr>
            <w:tcW w:type="dxa" w:w="2160"/>
            <w:vAlign w:val="center"/>
          </w:tcPr>
          <w:p>
            <w:r>
              <w:t>Stock concentration and solubility</w:t>
            </w:r>
          </w:p>
        </w:tc>
      </w:tr>
      <w:tr>
        <w:tc>
          <w:tcPr>
            <w:tcW w:type="dxa" w:w="1080"/>
            <w:vAlign w:val="center"/>
          </w:tcPr>
          <w:p>
            <w:r>
              <w:t>STO-006</w:t>
            </w:r>
          </w:p>
        </w:tc>
        <w:tc>
          <w:tcPr>
            <w:tcW w:type="dxa" w:w="2880"/>
            <w:vAlign w:val="center"/>
          </w:tcPr>
          <w:p>
            <w:r>
              <w:t>Storage location must be recorded and traceable.</w:t>
            </w:r>
          </w:p>
        </w:tc>
        <w:tc>
          <w:tcPr>
            <w:tcW w:type="dxa" w:w="2160"/>
            <w:vAlign w:val="center"/>
          </w:tcPr>
          <w:p>
            <w:r>
              <w:t>Required</w:t>
            </w:r>
          </w:p>
        </w:tc>
        <w:tc>
          <w:tcPr>
            <w:tcW w:type="dxa" w:w="2880"/>
            <w:vAlign w:val="center"/>
          </w:tcPr>
          <w:p>
            <w:r>
              <w:t>INSUFFICIENT INFORMATION if location is blank.</w:t>
            </w:r>
          </w:p>
        </w:tc>
        <w:tc>
          <w:tcPr>
            <w:tcW w:type="dxa" w:w="2160"/>
            <w:vAlign w:val="center"/>
          </w:tcPr>
          <w:p>
            <w:r>
              <w:t>Storage location</w:t>
            </w:r>
          </w:p>
        </w:tc>
      </w:tr>
    </w:tbl>
    <w:p/>
    <w:p>
      <w:pPr>
        <w:pStyle w:val="Heading1"/>
      </w:pPr>
      <w:r>
        <w:t>4. Storage Practices</w:t>
      </w:r>
    </w:p>
    <w:p>
      <w:pPr>
        <w:pStyle w:val="ListBullet"/>
      </w:pPr>
      <w:r>
        <w:t>Keep frozen stocks in their assigned freezer, rack, and box location.</w:t>
      </w:r>
    </w:p>
    <w:p>
      <w:pPr>
        <w:pStyle w:val="ListBullet"/>
      </w:pPr>
      <w:r>
        <w:t>Minimize time outside controlled storage.</w:t>
      </w:r>
    </w:p>
    <w:p>
      <w:pPr>
        <w:pStyle w:val="ListBullet"/>
      </w:pPr>
      <w:r>
        <w:t>Keep caps closed when not actively aspirating or dispensing.</w:t>
      </w:r>
    </w:p>
    <w:p>
      <w:pPr>
        <w:pStyle w:val="ListBullet"/>
      </w:pPr>
      <w:r>
        <w:t>Do not return visibly compromised or mislabeled material to active inventory.</w:t>
      </w:r>
    </w:p>
    <w:p>
      <w:pPr>
        <w:pStyle w:val="ListBullet"/>
      </w:pPr>
      <w:r>
        <w:t>Use separate container records for newly created aliquots.</w:t>
      </w:r>
    </w:p>
    <w:p>
      <w:pPr>
        <w:pStyle w:val="Heading1"/>
      </w:pPr>
      <w:r>
        <w:t>5. Dispensing Rules</w:t>
      </w:r>
    </w:p>
    <w:p>
      <w:pPr>
        <w:pStyle w:val="ListBullet"/>
      </w:pPr>
      <w:r>
        <w:t>Verify compound ID and container ID against the worklist.</w:t>
      </w:r>
    </w:p>
    <w:p>
      <w:pPr>
        <w:pStyle w:val="ListBullet"/>
      </w:pPr>
      <w:r>
        <w:t>Calculate usable volume after subtracting the 10 µL residual volume.</w:t>
      </w:r>
    </w:p>
    <w:p>
      <w:pPr>
        <w:pStyle w:val="ListBullet"/>
      </w:pPr>
      <w:r>
        <w:t>Include required transfer volume plus any configured dead volume in the feasibility calculation.</w:t>
      </w:r>
    </w:p>
    <w:p>
      <w:pPr>
        <w:pStyle w:val="ListBullet"/>
      </w:pPr>
      <w:r>
        <w:t>Block requests that exceed usable volume or depend on unavailable material.</w:t>
      </w:r>
    </w:p>
    <w:p>
      <w:pPr>
        <w:pStyle w:val="ListBullet"/>
      </w:pPr>
      <w:r>
        <w:t>Record the final dispensed volume and update inventory after completion.</w:t>
      </w:r>
    </w:p>
    <w:p>
      <w:pPr>
        <w:pStyle w:val="Heading1"/>
      </w:pPr>
      <w:r>
        <w:t>6. Feasibility Logic</w:t>
      </w:r>
    </w:p>
    <w:p>
      <w:r>
        <w:t>A compound is feasible only when it exists in inventory, has Available status, is not expired, is within freeze-thaw limits, has an acceptable storage record, and has sufficient usable volume and concentration. Missing required values produce 'Insufficient Information.'</w:t>
      </w:r>
    </w:p>
    <w:p>
      <w:pPr>
        <w:pStyle w:val="Heading1"/>
      </w:pPr>
      <w:r>
        <w:t>7. AI Guardrail</w:t>
      </w:r>
    </w:p>
    <w:p>
      <w:r>
        <w:t>The LLM may write a scientist-friendly explanation only after the deterministic engine provides the inventory result, rule citations, calculations, and verdict.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Educational mock SOP - not for regulated laboratory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454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