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0"/>
        </w:rPr>
        <w:t>拾物（Shiwu）设置页 UI 素材与页面设计说明书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适用页面：SettingsScreen / 设置页面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说明：本文档用于 Hermes / Claude Code / 前端开发同学进行页面还原、组件拆分、状态定义与联调实现。</w:t>
      </w:r>
    </w:p>
    <w:p/>
    <w:p>
      <w:pPr>
        <w:pStyle w:val="Heading1"/>
      </w:pPr>
      <w:r>
        <w:rPr>
          <w:rFonts w:ascii="Times New Roman" w:hAnsi="Times New Roman" w:eastAsia="宋体"/>
          <w:b/>
          <w:sz w:val="32"/>
        </w:rPr>
        <w:t>一、页面定位与设计目标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1. 页面定位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“设置”页面是拾物 App 的系统配置与账户管理入口页，属于应用的基础功能页，而非商品内容流页面。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该页面承接“我的”页面右上角设置入口，主要负责账户安全、地址、支付、功能偏好、消息通知、隐私、关于与反馈等配置能力。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在开发语义上，该页面可命名为 SettingsScreen，是一个标准的一级详情设置页面。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2. 设计目标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延续本项目统一的蓝粉渐变顶区、浅灰白卡片底、圆角大卡片、细线图标与高留白设计语言。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通过分组式卡片结构提升信息可读性，降低设置项过多带来的认知负担。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保证“设置页”既具备系统页的稳定感，又与拾物整体轻柔、生活化、AI 助理式产品气质保持一致。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二、页面总览图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8968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96ac55-385a-5f71-85e5-c96419b9e90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896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设置页面视觉参考图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三、完整页面结构拆解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1. 视觉层级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顶部渐变区：蓝—粉轻渐变背景，包含返回按钮、页面标题“设置”、右上角通知角标与更多菜单。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主体内容区：由 3 个大分组卡片组成，分别为“账号与安全”“功能”“关于”。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底部说明区：个人信息共享清单、个人信息收集清单、证照信息三项文本链接。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底部操作区：并排双按钮“切换账号”“退出登录”。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2. 信息架构树</w:t>
      </w:r>
    </w:p>
    <w:p>
      <w:pPr/>
      <w:r>
        <w:rPr>
          <w:rFonts w:ascii="Times New Roman" w:hAnsi="Times New Roman" w:eastAsia="宋体"/>
          <w:b/>
          <w:sz w:val="22"/>
        </w:rPr>
        <w:t>SettingsScreen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TopBar：返回 / 标题 / 右上角消息角标 / 更多菜单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SectionCard(AccountSecuritySection)：账号与安全、收货地址、账号与安全（二级账号设置）、支付设置、国家与地区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SectionCard(FunctionSection)：通用设置、消息通知、隐私设置、模式切换、个性皮肤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SectionCard(AboutSection)：商家入驻、帮助与反馈、关于拾物（带新版本提示）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FooterLinks：个人信息共享清单 / 个人信息收集清单 / 证照信息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BottomActionBar：切换账号按钮 / 退出登录按钮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四、UI 素材库与作用说明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素材名称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建议命名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类型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作用说明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顶部渐变背景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settings_header_gradient_bg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背景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延续品牌统一视觉，建立与主页面、我的页面一致的全局风格。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返回按钮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ic_back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图标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返回上一层页面，位于左上角。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更多菜单 + 角标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ic_more_horizontal / badge_notice_count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图标+状态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展示未读消息/系统提醒，支持后续扩展弹出菜单。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分组卡片容器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settings_section_card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容器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承载同类设置项，形成清晰的信息分组。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行首功能图标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ic_security / ic_location / ic_wallet / ic_globe / ic_notification 等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图标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帮助用户快速识别设置项类别。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设置项行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settings_row_item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列表项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统一的可点击单行组件，包含标题、可选副标题/当前值、右箭头。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模式切换当前值文本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settings_mode_value_text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文本状态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展示当前模式：标准 / 长辈大字 / 未成年人模式。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版本更新提示点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badge_update_dot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状态点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用于“关于拾物”项右侧提示存在可升级版本。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底部法律链接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settings_footer_link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文字链接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进入个人信息共享清单、收集清单、证照信息页面。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主操作按钮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btn_switch_account / btn_logout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按钮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完成账户切换与退出登录操作。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32"/>
        </w:rPr>
        <w:t>五、模块级设计说明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1. 顶部导航区 TopBar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左侧返回箭头：返回“我的”页面或上一层来源页。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页面标题“设置”：固定显示，作为当前页身份识别。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右上角橙色数字角标：可理解为通知/系统消息数量。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右侧三点更多菜单：用于扩展高级设置或调试入口。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2. 账号与安全分组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优先放置高频且高风险配置项，如收货地址、支付设置、地区等。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第一行“账号与安全”可作为总览型入口，也可进入账号绑定、手机号、密码、设备管理等下级页。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每行右侧统一使用 chevronRight，表示可进入下一层页面。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3. 功能分组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强调应用偏好与运行方式，包括通用设置、通知、隐私、模式切换和个性皮肤。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“模式切换”是带当前状态说明的设置项，适合采用 title + value + chevron 的三段式布局。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“个性皮肤”可作为后续主题换肤功能入口，与整体产品风格高度相关。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4. 关于分组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承载商家入驻、帮助与反馈、关于拾物等产品支持信息。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“关于拾物”右侧增加“有新版本可升级”文案与橙色更新点，用于版本升级提示。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5. 底部说明与操作区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底部三条淡色链接属于法务与合规信息区，建议字号更小、对比度更弱。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“切换账号”采用强调色描边/浅底橙色文案方案；“退出登录”采用中性深色文案，体现风险操作差异。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双按钮并列布局适合移动端底部稳定操作区，便于单手点击。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六、Hermes / 前端开发术语转译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页面路由名：SettingsScreen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页面所在层级：Profile / MyPage 子路由，通常由“我的”页右上角设置图标导航进入。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页面布局类型：GradientHeader + Scrollable Grouped Settings List + Footer Actions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核心组件：SettingsTopBar、SettingsSectionCard、SettingsRowItem、FooterLinkRow、DualActionButtons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状态类型：default / pressed / disabled / unreadBadge / updateAvailable / selectedMode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可测试交互：点击返回、点击各设置项跳转、点击法律链接、切换账号、退出登录。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七、Android Compose 组件命名建议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SettingsScreen()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SettingsTopBar(onBackClick, onMoreClick, unreadCount)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SettingsSectionCard(title, icon, content)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SettingsRowItem(icon, title, value = null, showChevron = true, onClick)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SettingsFooterLinks(sharedInfoClick, collectInfoClick, licenseInfoClick)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SettingsBottomActions(onSwitchAccountClick, onLogoutClick)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UpdateHintText(text, showDot)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ModeValueChip(text) 或 ModeValueText(text)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八、Mock 数据 JSON 结构建议</w:t>
      </w:r>
    </w:p>
    <w:p>
      <w:pPr/>
      <w:r>
        <w:rPr>
          <w:rFonts w:ascii="Courier New" w:hAnsi="Courier New" w:eastAsia="宋体"/>
          <w:sz w:val="19"/>
        </w:rPr>
        <w:t>{</w:t>
      </w:r>
    </w:p>
    <w:p>
      <w:pPr/>
      <w:r>
        <w:rPr>
          <w:rFonts w:ascii="Courier New" w:hAnsi="Courier New" w:eastAsia="宋体"/>
          <w:sz w:val="19"/>
        </w:rPr>
        <w:t xml:space="preserve">  "page": "settings",</w:t>
      </w:r>
    </w:p>
    <w:p>
      <w:pPr/>
      <w:r>
        <w:rPr>
          <w:rFonts w:ascii="Courier New" w:hAnsi="Courier New" w:eastAsia="宋体"/>
          <w:sz w:val="19"/>
        </w:rPr>
        <w:t xml:space="preserve">  "title": "设置",</w:t>
      </w:r>
    </w:p>
    <w:p>
      <w:pPr/>
      <w:r>
        <w:rPr>
          <w:rFonts w:ascii="Courier New" w:hAnsi="Courier New" w:eastAsia="宋体"/>
          <w:sz w:val="19"/>
        </w:rPr>
        <w:t xml:space="preserve">  "topBar": {</w:t>
      </w:r>
    </w:p>
    <w:p>
      <w:pPr/>
      <w:r>
        <w:rPr>
          <w:rFonts w:ascii="Courier New" w:hAnsi="Courier New" w:eastAsia="宋体"/>
          <w:sz w:val="19"/>
        </w:rPr>
        <w:t xml:space="preserve">    "unreadCount": 10,</w:t>
      </w:r>
    </w:p>
    <w:p>
      <w:pPr/>
      <w:r>
        <w:rPr>
          <w:rFonts w:ascii="Courier New" w:hAnsi="Courier New" w:eastAsia="宋体"/>
          <w:sz w:val="19"/>
        </w:rPr>
        <w:t xml:space="preserve">    "showMoreMenu": true</w:t>
      </w:r>
    </w:p>
    <w:p>
      <w:pPr/>
      <w:r>
        <w:rPr>
          <w:rFonts w:ascii="Courier New" w:hAnsi="Courier New" w:eastAsia="宋体"/>
          <w:sz w:val="19"/>
        </w:rPr>
        <w:t xml:space="preserve">  },</w:t>
      </w:r>
    </w:p>
    <w:p>
      <w:pPr/>
      <w:r>
        <w:rPr>
          <w:rFonts w:ascii="Courier New" w:hAnsi="Courier New" w:eastAsia="宋体"/>
          <w:sz w:val="19"/>
        </w:rPr>
        <w:t xml:space="preserve">  "sections": [</w:t>
      </w:r>
    </w:p>
    <w:p>
      <w:pPr/>
      <w:r>
        <w:rPr>
          <w:rFonts w:ascii="Courier New" w:hAnsi="Courier New" w:eastAsia="宋体"/>
          <w:sz w:val="19"/>
        </w:rPr>
        <w:t xml:space="preserve">    {</w:t>
      </w:r>
    </w:p>
    <w:p>
      <w:pPr/>
      <w:r>
        <w:rPr>
          <w:rFonts w:ascii="Courier New" w:hAnsi="Courier New" w:eastAsia="宋体"/>
          <w:sz w:val="19"/>
        </w:rPr>
        <w:t xml:space="preserve">      "key": "account_security",</w:t>
      </w:r>
    </w:p>
    <w:p>
      <w:pPr/>
      <w:r>
        <w:rPr>
          <w:rFonts w:ascii="Courier New" w:hAnsi="Courier New" w:eastAsia="宋体"/>
          <w:sz w:val="19"/>
        </w:rPr>
        <w:t xml:space="preserve">      "title": "账号与安全",</w:t>
      </w:r>
    </w:p>
    <w:p>
      <w:pPr/>
      <w:r>
        <w:rPr>
          <w:rFonts w:ascii="Courier New" w:hAnsi="Courier New" w:eastAsia="宋体"/>
          <w:sz w:val="19"/>
        </w:rPr>
        <w:t xml:space="preserve">      "items": [</w:t>
      </w:r>
    </w:p>
    <w:p>
      <w:pPr/>
      <w:r>
        <w:rPr>
          <w:rFonts w:ascii="Courier New" w:hAnsi="Courier New" w:eastAsia="宋体"/>
          <w:sz w:val="19"/>
        </w:rPr>
        <w:t xml:space="preserve">        {"icon": "shield", "title": "账号与安全", "route": "accountOverview"},</w:t>
      </w:r>
    </w:p>
    <w:p>
      <w:pPr/>
      <w:r>
        <w:rPr>
          <w:rFonts w:ascii="Courier New" w:hAnsi="Courier New" w:eastAsia="宋体"/>
          <w:sz w:val="19"/>
        </w:rPr>
        <w:t xml:space="preserve">        {"icon": "location", "title": "收货地址", "route": "addressList"},</w:t>
      </w:r>
    </w:p>
    <w:p>
      <w:pPr/>
      <w:r>
        <w:rPr>
          <w:rFonts w:ascii="Courier New" w:hAnsi="Courier New" w:eastAsia="宋体"/>
          <w:sz w:val="19"/>
        </w:rPr>
        <w:t xml:space="preserve">        {"icon": "userShield", "title": "账号与安全", "route": "accountSecurity"},</w:t>
      </w:r>
    </w:p>
    <w:p>
      <w:pPr/>
      <w:r>
        <w:rPr>
          <w:rFonts w:ascii="Courier New" w:hAnsi="Courier New" w:eastAsia="宋体"/>
          <w:sz w:val="19"/>
        </w:rPr>
        <w:t xml:space="preserve">        {"icon": "wallet", "title": "支付设置", "route": "paymentSettings"},</w:t>
      </w:r>
    </w:p>
    <w:p>
      <w:pPr/>
      <w:r>
        <w:rPr>
          <w:rFonts w:ascii="Courier New" w:hAnsi="Courier New" w:eastAsia="宋体"/>
          <w:sz w:val="19"/>
        </w:rPr>
        <w:t xml:space="preserve">        {"icon": "globe", "title": "国家与地区", "route": "regionSettings"}</w:t>
      </w:r>
    </w:p>
    <w:p>
      <w:pPr/>
      <w:r>
        <w:rPr>
          <w:rFonts w:ascii="Courier New" w:hAnsi="Courier New" w:eastAsia="宋体"/>
          <w:sz w:val="19"/>
        </w:rPr>
        <w:t xml:space="preserve">      ]</w:t>
      </w:r>
    </w:p>
    <w:p>
      <w:pPr/>
      <w:r>
        <w:rPr>
          <w:rFonts w:ascii="Courier New" w:hAnsi="Courier New" w:eastAsia="宋体"/>
          <w:sz w:val="19"/>
        </w:rPr>
        <w:t xml:space="preserve">    },</w:t>
      </w:r>
    </w:p>
    <w:p>
      <w:pPr/>
      <w:r>
        <w:rPr>
          <w:rFonts w:ascii="Courier New" w:hAnsi="Courier New" w:eastAsia="宋体"/>
          <w:sz w:val="19"/>
        </w:rPr>
        <w:t xml:space="preserve">    {</w:t>
      </w:r>
    </w:p>
    <w:p>
      <w:pPr/>
      <w:r>
        <w:rPr>
          <w:rFonts w:ascii="Courier New" w:hAnsi="Courier New" w:eastAsia="宋体"/>
          <w:sz w:val="19"/>
        </w:rPr>
        <w:t xml:space="preserve">      "key": "features",</w:t>
      </w:r>
    </w:p>
    <w:p>
      <w:pPr/>
      <w:r>
        <w:rPr>
          <w:rFonts w:ascii="Courier New" w:hAnsi="Courier New" w:eastAsia="宋体"/>
          <w:sz w:val="19"/>
        </w:rPr>
        <w:t xml:space="preserve">      "title": "功能",</w:t>
      </w:r>
    </w:p>
    <w:p>
      <w:pPr/>
      <w:r>
        <w:rPr>
          <w:rFonts w:ascii="Courier New" w:hAnsi="Courier New" w:eastAsia="宋体"/>
          <w:sz w:val="19"/>
        </w:rPr>
        <w:t xml:space="preserve">      "items": [</w:t>
      </w:r>
    </w:p>
    <w:p>
      <w:pPr/>
      <w:r>
        <w:rPr>
          <w:rFonts w:ascii="Courier New" w:hAnsi="Courier New" w:eastAsia="宋体"/>
          <w:sz w:val="19"/>
        </w:rPr>
        <w:t xml:space="preserve">        {"icon": "hexagon", "title": "通用设置", "route": "generalSettings"},</w:t>
      </w:r>
    </w:p>
    <w:p>
      <w:pPr/>
      <w:r>
        <w:rPr>
          <w:rFonts w:ascii="Courier New" w:hAnsi="Courier New" w:eastAsia="宋体"/>
          <w:sz w:val="19"/>
        </w:rPr>
        <w:t xml:space="preserve">        {"icon": "bell", "title": "消息通知", "route": "notificationSettings"},</w:t>
      </w:r>
    </w:p>
    <w:p>
      <w:pPr/>
      <w:r>
        <w:rPr>
          <w:rFonts w:ascii="Courier New" w:hAnsi="Courier New" w:eastAsia="宋体"/>
          <w:sz w:val="19"/>
        </w:rPr>
        <w:t xml:space="preserve">        {"icon": "lock", "title": "隐私设置", "route": "privacySettings"},</w:t>
      </w:r>
    </w:p>
    <w:p>
      <w:pPr/>
      <w:r>
        <w:rPr>
          <w:rFonts w:ascii="Courier New" w:hAnsi="Courier New" w:eastAsia="宋体"/>
          <w:sz w:val="19"/>
        </w:rPr>
        <w:t xml:space="preserve">        {"icon": "shirt", "title": "模式切换", "value": "标准/长辈大字/未成年人模式", "route": "modeSettings"},</w:t>
      </w:r>
    </w:p>
    <w:p>
      <w:pPr/>
      <w:r>
        <w:rPr>
          <w:rFonts w:ascii="Courier New" w:hAnsi="Courier New" w:eastAsia="宋体"/>
          <w:sz w:val="19"/>
        </w:rPr>
        <w:t xml:space="preserve">        {"icon": "palette", "title": "个性皮肤", "route": "skinSettings"}</w:t>
      </w:r>
    </w:p>
    <w:p>
      <w:pPr/>
      <w:r>
        <w:rPr>
          <w:rFonts w:ascii="Courier New" w:hAnsi="Courier New" w:eastAsia="宋体"/>
          <w:sz w:val="19"/>
        </w:rPr>
        <w:t xml:space="preserve">      ]</w:t>
      </w:r>
    </w:p>
    <w:p>
      <w:pPr/>
      <w:r>
        <w:rPr>
          <w:rFonts w:ascii="Courier New" w:hAnsi="Courier New" w:eastAsia="宋体"/>
          <w:sz w:val="19"/>
        </w:rPr>
        <w:t xml:space="preserve">    },</w:t>
      </w:r>
    </w:p>
    <w:p>
      <w:pPr/>
      <w:r>
        <w:rPr>
          <w:rFonts w:ascii="Courier New" w:hAnsi="Courier New" w:eastAsia="宋体"/>
          <w:sz w:val="19"/>
        </w:rPr>
        <w:t xml:space="preserve">    {</w:t>
      </w:r>
    </w:p>
    <w:p>
      <w:pPr/>
      <w:r>
        <w:rPr>
          <w:rFonts w:ascii="Courier New" w:hAnsi="Courier New" w:eastAsia="宋体"/>
          <w:sz w:val="19"/>
        </w:rPr>
        <w:t xml:space="preserve">      "key": "about",</w:t>
      </w:r>
    </w:p>
    <w:p>
      <w:pPr/>
      <w:r>
        <w:rPr>
          <w:rFonts w:ascii="Courier New" w:hAnsi="Courier New" w:eastAsia="宋体"/>
          <w:sz w:val="19"/>
        </w:rPr>
        <w:t xml:space="preserve">      "title": "关于",</w:t>
      </w:r>
    </w:p>
    <w:p>
      <w:pPr/>
      <w:r>
        <w:rPr>
          <w:rFonts w:ascii="Courier New" w:hAnsi="Courier New" w:eastAsia="宋体"/>
          <w:sz w:val="19"/>
        </w:rPr>
        <w:t xml:space="preserve">      "items": [</w:t>
      </w:r>
    </w:p>
    <w:p>
      <w:pPr/>
      <w:r>
        <w:rPr>
          <w:rFonts w:ascii="Courier New" w:hAnsi="Courier New" w:eastAsia="宋体"/>
          <w:sz w:val="19"/>
        </w:rPr>
        <w:t xml:space="preserve">        {"icon": "shop", "title": "商家入驻", "route": "merchantApply"},</w:t>
      </w:r>
    </w:p>
    <w:p>
      <w:pPr/>
      <w:r>
        <w:rPr>
          <w:rFonts w:ascii="Courier New" w:hAnsi="Courier New" w:eastAsia="宋体"/>
          <w:sz w:val="19"/>
        </w:rPr>
        <w:t xml:space="preserve">        {"icon": "help", "title": "帮助与反馈", "route": "helpFeedback"},</w:t>
      </w:r>
    </w:p>
    <w:p>
      <w:pPr/>
      <w:r>
        <w:rPr>
          <w:rFonts w:ascii="Courier New" w:hAnsi="Courier New" w:eastAsia="宋体"/>
          <w:sz w:val="19"/>
        </w:rPr>
        <w:t xml:space="preserve">        {"icon": "info", "title": "关于拾物", "value": "有新版本可升级", "showUpdateDot": true, "route": "aboutShiwu"}</w:t>
      </w:r>
    </w:p>
    <w:p>
      <w:pPr/>
      <w:r>
        <w:rPr>
          <w:rFonts w:ascii="Courier New" w:hAnsi="Courier New" w:eastAsia="宋体"/>
          <w:sz w:val="19"/>
        </w:rPr>
        <w:t xml:space="preserve">      ]</w:t>
      </w:r>
    </w:p>
    <w:p>
      <w:pPr/>
      <w:r>
        <w:rPr>
          <w:rFonts w:ascii="Courier New" w:hAnsi="Courier New" w:eastAsia="宋体"/>
          <w:sz w:val="19"/>
        </w:rPr>
        <w:t xml:space="preserve">    }</w:t>
      </w:r>
    </w:p>
    <w:p>
      <w:pPr/>
      <w:r>
        <w:rPr>
          <w:rFonts w:ascii="Courier New" w:hAnsi="Courier New" w:eastAsia="宋体"/>
          <w:sz w:val="19"/>
        </w:rPr>
        <w:t xml:space="preserve">  ],</w:t>
      </w:r>
    </w:p>
    <w:p>
      <w:pPr/>
      <w:r>
        <w:rPr>
          <w:rFonts w:ascii="Courier New" w:hAnsi="Courier New" w:eastAsia="宋体"/>
          <w:sz w:val="19"/>
        </w:rPr>
        <w:t xml:space="preserve">  "footerLinks": ["个人信息共享清单", "个人信息收集清单", "证照信息"],</w:t>
      </w:r>
    </w:p>
    <w:p>
      <w:pPr/>
      <w:r>
        <w:rPr>
          <w:rFonts w:ascii="Courier New" w:hAnsi="Courier New" w:eastAsia="宋体"/>
          <w:sz w:val="19"/>
        </w:rPr>
        <w:t xml:space="preserve">  "actions": {</w:t>
      </w:r>
    </w:p>
    <w:p>
      <w:pPr/>
      <w:r>
        <w:rPr>
          <w:rFonts w:ascii="Courier New" w:hAnsi="Courier New" w:eastAsia="宋体"/>
          <w:sz w:val="19"/>
        </w:rPr>
        <w:t xml:space="preserve">    "switchAccount": true,</w:t>
      </w:r>
    </w:p>
    <w:p>
      <w:pPr/>
      <w:r>
        <w:rPr>
          <w:rFonts w:ascii="Courier New" w:hAnsi="Courier New" w:eastAsia="宋体"/>
          <w:sz w:val="19"/>
        </w:rPr>
        <w:t xml:space="preserve">    "logout": true</w:t>
      </w:r>
    </w:p>
    <w:p>
      <w:pPr/>
      <w:r>
        <w:rPr>
          <w:rFonts w:ascii="Courier New" w:hAnsi="Courier New" w:eastAsia="宋体"/>
          <w:sz w:val="19"/>
        </w:rPr>
        <w:t xml:space="preserve">  }</w:t>
      </w:r>
    </w:p>
    <w:p>
      <w:pPr/>
      <w:r>
        <w:rPr>
          <w:rFonts w:ascii="Courier New" w:hAnsi="Courier New" w:eastAsia="宋体"/>
          <w:sz w:val="19"/>
        </w:rPr>
        <w:t>}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九、Hermes 构建提示词（可直接交付）</w:t>
      </w:r>
    </w:p>
    <w:p>
      <w:pPr/>
      <w:r>
        <w:rPr>
          <w:rFonts w:ascii="Times New Roman" w:hAnsi="Times New Roman" w:eastAsia="宋体"/>
          <w:sz w:val="22"/>
        </w:rPr>
        <w:t>请根据设计说明书实现拾物 App 的 SettingsScreen。</w:t>
        <w:br/>
        <w:br/>
        <w:t>要求：</w:t>
        <w:br/>
        <w:t>1. 页面不是商品流页面，而是“我的”页面下的一级设置页。</w:t>
        <w:br/>
        <w:t>2. 顶部保留拾物统一的蓝粉轻渐变背景，左侧返回按钮，中间标题“设置”，右上角保留通知角标与更多菜单。</w:t>
        <w:br/>
        <w:t>3. 主体使用 3 个大圆角分组卡片：账号与安全、功能、关于。</w:t>
        <w:br/>
        <w:t>4. 每个设置项使用统一 SettingsRowItem：左图标 + 标题 + （可选 value）+ 右箭头。</w:t>
        <w:br/>
        <w:t>5. 模式切换项需要展示当前值“标准/长辈大字/未成年人模式”。</w:t>
        <w:br/>
        <w:t>6. 关于拾物项右侧增加“有新版本可升级”与橙色提示点。</w:t>
        <w:br/>
        <w:t>7. 页面底部保留三条法务链接以及两个操作按钮：切换账号、退出登录。</w:t>
        <w:br/>
        <w:t>8. 按 Compose 方式拆组件，并提供 Preview 与 mock data。</w:t>
        <w:br/>
        <w:t>9. 输出目录结构、组件代码、假数据、交互说明与验收清单。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十、验收标准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视觉验收：与参考图一致，统一蓝粉渐变头部、白灰卡片、细线图标、高留白。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结构验收：3 个分组卡片、3 条底部法律链接、2 个底部按钮均完整。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交互验收：所有设置项可点击，返回/更多/切换账号/退出登录可触发事件。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数据验收：模式切换、版本更新提示、角标数字等状态可由 mock data 驱动。</w:t>
      </w:r>
    </w:p>
    <w:p>
      <w:pPr>
        <w:ind w:left="283"/>
      </w:pPr>
      <w:r>
        <w:rPr>
          <w:rFonts w:ascii="Times New Roman" w:hAnsi="Times New Roman" w:eastAsia="宋体"/>
          <w:sz w:val="22"/>
        </w:rPr>
        <w:t>• 工程验收：组件拆分清晰，命名统一，便于 Hermes / Claude Code 后续继续扩展。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