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このディレクトリ配下のすべてのCSVファイルにおいて、感染リスクRoIは、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RoI = 観測飛沫数 / 部屋の大きさ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で求めたものである。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mouth height on standing : 1.5 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mouth height on sitting : 1.2 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